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154" w:rsidRPr="005C71F6" w:rsidRDefault="00441154" w:rsidP="005C71F6">
      <w:pPr>
        <w:pStyle w:val="a3"/>
        <w:spacing w:before="0" w:beforeAutospacing="0"/>
        <w:jc w:val="center"/>
        <w:rPr>
          <w:sz w:val="33"/>
          <w:szCs w:val="33"/>
          <w:shd w:val="clear" w:color="auto" w:fill="FFFFFF"/>
        </w:rPr>
      </w:pPr>
      <w:r>
        <w:rPr>
          <w:rFonts w:hint="eastAsia"/>
          <w:sz w:val="33"/>
          <w:szCs w:val="33"/>
          <w:shd w:val="clear" w:color="auto" w:fill="FFFFFF"/>
        </w:rPr>
        <w:t>2022年度部门整体支出绩效评价报告</w:t>
      </w:r>
    </w:p>
    <w:p w:rsidR="00441154" w:rsidRDefault="00441154" w:rsidP="00441154">
      <w:pPr>
        <w:pStyle w:val="a3"/>
        <w:spacing w:before="0" w:beforeAutospacing="0" w:after="0" w:afterAutospacing="0" w:line="480" w:lineRule="exact"/>
        <w:ind w:firstLineChars="200" w:firstLine="560"/>
        <w:rPr>
          <w:rFonts w:cs="仿宋"/>
          <w:sz w:val="28"/>
          <w:szCs w:val="28"/>
        </w:rPr>
      </w:pPr>
      <w:r>
        <w:rPr>
          <w:rFonts w:cs="仿宋" w:hint="eastAsia"/>
          <w:sz w:val="28"/>
          <w:szCs w:val="28"/>
        </w:rPr>
        <w:t>为进一步强化部门责任意识，规范财政资金管理，提高财政资金使用效益，我单位对部门整体支出进行了绩效评价，具体如下：</w:t>
      </w: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一、单位基本情况</w:t>
      </w:r>
    </w:p>
    <w:p w:rsidR="00441154" w:rsidRDefault="00441154" w:rsidP="00441154">
      <w:pPr>
        <w:spacing w:line="480" w:lineRule="exact"/>
        <w:ind w:firstLineChars="200" w:firstLine="560"/>
        <w:rPr>
          <w:rFonts w:cs="仿宋"/>
          <w:b/>
          <w:sz w:val="28"/>
          <w:szCs w:val="28"/>
        </w:rPr>
      </w:pPr>
      <w:r>
        <w:rPr>
          <w:rFonts w:cs="仿宋" w:hint="eastAsia"/>
          <w:sz w:val="28"/>
          <w:szCs w:val="28"/>
        </w:rPr>
        <w:t>邵阳职业技术学院是经湖南省人民政府批准、教育部备案、邵阳市人民政府主办主管的全日制普通高等职业院校,省文明高校、省现代大学制度建设先进高校、省高等学校就业先进单位、省高校征兵工作先进单位。</w:t>
      </w:r>
    </w:p>
    <w:p w:rsidR="00441154" w:rsidRDefault="00441154" w:rsidP="00441154">
      <w:pPr>
        <w:pStyle w:val="Normal"/>
        <w:spacing w:line="480" w:lineRule="exact"/>
        <w:ind w:firstLineChars="200" w:firstLine="560"/>
        <w:rPr>
          <w:rFonts w:cs="仿宋"/>
          <w:color w:val="000000"/>
          <w:sz w:val="28"/>
          <w:szCs w:val="28"/>
        </w:rPr>
      </w:pPr>
      <w:r>
        <w:rPr>
          <w:rFonts w:cs="仿宋" w:hint="eastAsia"/>
          <w:color w:val="000000"/>
          <w:sz w:val="28"/>
          <w:szCs w:val="28"/>
        </w:rPr>
        <w:t>单位主要职能：邵阳职业技术学院全面贯彻党和国家的教育方针，坚持社会主义办学方向，坚持教育为人民服务，坚持立德树人。</w:t>
      </w:r>
    </w:p>
    <w:p w:rsidR="00441154" w:rsidRDefault="00441154" w:rsidP="00441154">
      <w:pPr>
        <w:pStyle w:val="Normal"/>
        <w:spacing w:line="480" w:lineRule="exact"/>
        <w:ind w:firstLine="600"/>
        <w:rPr>
          <w:rFonts w:cs="仿宋"/>
          <w:color w:val="000000"/>
          <w:sz w:val="28"/>
          <w:szCs w:val="28"/>
        </w:rPr>
      </w:pPr>
      <w:r>
        <w:rPr>
          <w:rFonts w:cs="仿宋" w:hint="eastAsia"/>
          <w:color w:val="000000"/>
          <w:sz w:val="28"/>
          <w:szCs w:val="28"/>
        </w:rPr>
        <w:t>1、培养人才。以教学为主，探索高等职业技术教育路子，培养高等技能型、应用型专业人才。</w:t>
      </w:r>
    </w:p>
    <w:p w:rsidR="00441154" w:rsidRDefault="00441154" w:rsidP="00441154">
      <w:pPr>
        <w:pStyle w:val="Normal"/>
        <w:spacing w:line="480" w:lineRule="exact"/>
        <w:ind w:firstLine="600"/>
        <w:rPr>
          <w:rFonts w:cs="仿宋"/>
          <w:color w:val="000000"/>
          <w:sz w:val="28"/>
          <w:szCs w:val="28"/>
        </w:rPr>
      </w:pPr>
      <w:r>
        <w:rPr>
          <w:rFonts w:cs="仿宋" w:hint="eastAsia"/>
          <w:color w:val="000000"/>
          <w:sz w:val="28"/>
          <w:szCs w:val="28"/>
        </w:rPr>
        <w:t>2、发展科学。根据职业教育要求开设教学课程，深化教学改革，更新教育理念，树立科学的人才质量观，构建高质优效的高职教育课程和教学内容体系。</w:t>
      </w:r>
    </w:p>
    <w:p w:rsidR="00441154" w:rsidRDefault="00441154" w:rsidP="00441154">
      <w:pPr>
        <w:pStyle w:val="Normal"/>
        <w:spacing w:line="480" w:lineRule="exact"/>
        <w:ind w:firstLine="600"/>
        <w:rPr>
          <w:rFonts w:cs="仿宋"/>
          <w:color w:val="000000"/>
          <w:sz w:val="28"/>
          <w:szCs w:val="28"/>
        </w:rPr>
      </w:pPr>
      <w:r>
        <w:rPr>
          <w:rFonts w:cs="仿宋" w:hint="eastAsia"/>
          <w:color w:val="000000"/>
          <w:sz w:val="28"/>
          <w:szCs w:val="28"/>
        </w:rPr>
        <w:t>3、服务社会。着重职业能力培养，促进全民教育发展，提供多种形式的教育与培训；大力开展应用技术服务，积极推广科技成果，提供生产技术服务，开展科技产品咨询，服务社会生产发展和地方经济建设。</w:t>
      </w:r>
    </w:p>
    <w:p w:rsidR="00441154" w:rsidRDefault="00441154" w:rsidP="00441154">
      <w:pPr>
        <w:pStyle w:val="Normal"/>
        <w:spacing w:line="480" w:lineRule="exact"/>
        <w:ind w:firstLine="600"/>
        <w:rPr>
          <w:rFonts w:cs="仿宋"/>
          <w:color w:val="000000"/>
          <w:sz w:val="28"/>
          <w:szCs w:val="28"/>
        </w:rPr>
      </w:pPr>
      <w:r>
        <w:rPr>
          <w:rFonts w:cs="仿宋" w:hint="eastAsia"/>
          <w:color w:val="000000"/>
          <w:sz w:val="28"/>
          <w:szCs w:val="28"/>
        </w:rPr>
        <w:t>4、文化传承与创新。发挥图书馆的作用，定期开展校史展览，让学生感受历史，感受发展；强化知行合一理念，将优秀传统文化融入思政教育和实践教育；推进校园文化建设，引进企业特色文化；立足本地区面向其他地区，积极发展对外交流，学习先进的办学理念和方法。</w:t>
      </w:r>
    </w:p>
    <w:p w:rsidR="00441154" w:rsidRDefault="00441154" w:rsidP="00441154">
      <w:pPr>
        <w:pStyle w:val="Normal"/>
        <w:spacing w:line="480" w:lineRule="exact"/>
        <w:ind w:firstLineChars="200" w:firstLine="560"/>
        <w:rPr>
          <w:rFonts w:cs="仿宋"/>
          <w:color w:val="000000"/>
          <w:sz w:val="28"/>
          <w:szCs w:val="28"/>
        </w:rPr>
      </w:pPr>
      <w:r>
        <w:rPr>
          <w:rFonts w:cs="仿宋" w:hint="eastAsia"/>
          <w:color w:val="000000"/>
          <w:sz w:val="28"/>
          <w:szCs w:val="28"/>
        </w:rPr>
        <w:t>单位机构：我校共设28个职能机构，分别是：党政办公室、组织人事处、统战宣传部、教务处、财务处、学生工作处、招生就业处、科研处、后勤处、保卫处、规划基建处、离退休工作处、纪检监察室、工会、团委、质量控制办公室、网络中心、继续教育与培训学院、图</w:t>
      </w:r>
      <w:r>
        <w:rPr>
          <w:rFonts w:cs="仿宋" w:hint="eastAsia"/>
          <w:color w:val="000000"/>
          <w:sz w:val="28"/>
          <w:szCs w:val="28"/>
        </w:rPr>
        <w:lastRenderedPageBreak/>
        <w:t>书馆、电梯工程学院、汽车与智能制造学院、信息技术与创意系、财会工商系、生物工程系、建筑工程系、五年制大专部、公共课部、思想政治教育部。</w:t>
      </w:r>
    </w:p>
    <w:p w:rsidR="00441154" w:rsidRDefault="00441154" w:rsidP="00441154">
      <w:pPr>
        <w:pStyle w:val="a3"/>
        <w:spacing w:before="0" w:beforeAutospacing="0" w:after="0" w:afterAutospacing="0" w:line="480" w:lineRule="exact"/>
        <w:ind w:firstLineChars="200" w:firstLine="560"/>
        <w:rPr>
          <w:rFonts w:cs="仿宋"/>
          <w:sz w:val="28"/>
          <w:szCs w:val="28"/>
        </w:rPr>
      </w:pPr>
      <w:r>
        <w:rPr>
          <w:rFonts w:cs="仿宋" w:hint="eastAsia"/>
          <w:sz w:val="28"/>
          <w:szCs w:val="28"/>
        </w:rPr>
        <w:t>单位人员和学生规模：2022年末事业编制 480人，实际在职人员448人，退休人员180人，离休人员1人，遗属人员10人。在校学生共计12249人，其中普通专科学生11236人，五年制大专学生1013人。</w:t>
      </w: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二、一般公共预算支出情况</w:t>
      </w:r>
    </w:p>
    <w:p w:rsidR="00441154" w:rsidRDefault="00441154" w:rsidP="00441154">
      <w:pPr>
        <w:spacing w:line="480" w:lineRule="exact"/>
        <w:ind w:left="602"/>
        <w:rPr>
          <w:rFonts w:cs="仿宋"/>
          <w:b/>
          <w:sz w:val="28"/>
          <w:szCs w:val="28"/>
        </w:rPr>
      </w:pPr>
      <w:r>
        <w:rPr>
          <w:rFonts w:cs="仿宋" w:hint="eastAsia"/>
          <w:b/>
          <w:sz w:val="28"/>
          <w:szCs w:val="28"/>
        </w:rPr>
        <w:t>（一）基本支出情况</w:t>
      </w:r>
    </w:p>
    <w:p w:rsidR="00441154" w:rsidRDefault="00441154" w:rsidP="00441154">
      <w:pPr>
        <w:pStyle w:val="a3"/>
        <w:spacing w:before="0" w:beforeAutospacing="0" w:after="0" w:afterAutospacing="0" w:line="480" w:lineRule="exact"/>
        <w:ind w:leftChars="42" w:left="101" w:rightChars="-50" w:right="-120" w:firstLineChars="200" w:firstLine="560"/>
        <w:rPr>
          <w:color w:val="FF0000"/>
          <w:sz w:val="28"/>
          <w:szCs w:val="28"/>
        </w:rPr>
      </w:pPr>
      <w:r>
        <w:rPr>
          <w:rFonts w:cs="仿宋" w:hint="eastAsia"/>
          <w:sz w:val="28"/>
          <w:szCs w:val="28"/>
        </w:rPr>
        <w:t>2022年，本单位基本支出年初预算4026.48万元，主要是为维护学校教学秩序的正常运转和提升学校的教育教学质量而发生的各项支出，包括人员经费预算3891.48万元,公用经费预算135万元。本单位基本支出年末决算14443.94万元，包括人员经费支出12825.58万元, 其中：工资福利支出8944.2万元，对个人和家庭的补助3881.38万元(含学生奖助学金1176.88万元)，公用经费支出1618.36万元。圆满完成了招生、就业、教育教学工作，后勤保障工作落实到位，无教学等安全事故的发生。</w:t>
      </w:r>
    </w:p>
    <w:p w:rsidR="00441154" w:rsidRDefault="00441154" w:rsidP="00441154">
      <w:pPr>
        <w:pStyle w:val="a3"/>
        <w:spacing w:before="0" w:beforeAutospacing="0" w:after="0" w:afterAutospacing="0" w:line="480" w:lineRule="exact"/>
        <w:ind w:leftChars="42" w:left="101" w:rightChars="-50" w:right="-120" w:firstLineChars="200" w:firstLine="560"/>
        <w:rPr>
          <w:rFonts w:cs="仿宋"/>
          <w:sz w:val="28"/>
          <w:szCs w:val="28"/>
        </w:rPr>
      </w:pPr>
      <w:r>
        <w:rPr>
          <w:rFonts w:cs="仿宋" w:hint="eastAsia"/>
          <w:sz w:val="28"/>
          <w:szCs w:val="28"/>
        </w:rPr>
        <w:t>我校全口径“三公”经费预算15万元，决算支出仅11.35万元，符合只减不增的政策要求。严格执行因公出国（境）、公务接待和公务用车购置及运行维护政策规定，在公务用车管理方面，规范公务用车，降低了运行费用；在公务接待管理方面，坚决禁止违规职务消费和公款大吃大喝，由院党政办统一归口管理，招待费用支出时附有招待标准和人数；公务出国（境）严格按照有关制度要求实行报批、公示。</w:t>
      </w:r>
    </w:p>
    <w:p w:rsidR="00441154" w:rsidRDefault="00441154" w:rsidP="00441154">
      <w:pPr>
        <w:pStyle w:val="a3"/>
        <w:spacing w:before="0" w:beforeAutospacing="0" w:after="0" w:afterAutospacing="0" w:line="480" w:lineRule="exact"/>
        <w:ind w:leftChars="42" w:left="101" w:rightChars="-50" w:right="-120" w:firstLineChars="200" w:firstLine="562"/>
        <w:rPr>
          <w:rFonts w:cs="仿宋"/>
          <w:b/>
          <w:sz w:val="28"/>
          <w:szCs w:val="28"/>
        </w:rPr>
      </w:pPr>
      <w:r>
        <w:rPr>
          <w:rFonts w:cs="仿宋" w:hint="eastAsia"/>
          <w:b/>
          <w:sz w:val="28"/>
          <w:szCs w:val="28"/>
        </w:rPr>
        <w:t>（二）项目支出情况</w:t>
      </w:r>
    </w:p>
    <w:p w:rsidR="00441154" w:rsidRDefault="00441154" w:rsidP="00441154">
      <w:pPr>
        <w:pStyle w:val="a3"/>
        <w:spacing w:before="0" w:beforeAutospacing="0" w:after="0" w:afterAutospacing="0" w:line="480" w:lineRule="exact"/>
        <w:ind w:leftChars="42" w:left="101" w:rightChars="-50" w:right="-120" w:firstLineChars="200" w:firstLine="560"/>
      </w:pPr>
      <w:r>
        <w:rPr>
          <w:rFonts w:cs="仿宋" w:hint="eastAsia"/>
          <w:sz w:val="28"/>
          <w:szCs w:val="28"/>
        </w:rPr>
        <w:t>根据湖南省财政厅、湖南省教育厅的湘财教指[2022]11号文件精神，邵阳市财政局给我校下达专项资金新冠肺炎疫情防控补助经费12万元，该项目资金于2022年5月10日下达，资金及时、足额拨付到位。开支范围严格执行省教育厅、财政厅相关文件要求，做到专</w:t>
      </w:r>
      <w:r>
        <w:rPr>
          <w:rFonts w:cs="仿宋" w:hint="eastAsia"/>
          <w:sz w:val="28"/>
          <w:szCs w:val="28"/>
        </w:rPr>
        <w:lastRenderedPageBreak/>
        <w:t>款专用，全年用于疫情防控工作资金120.6475万元。其中：中央对地方教育转移支付资金12万元，学校自筹资金108.6475万元。</w:t>
      </w:r>
    </w:p>
    <w:p w:rsidR="00441154" w:rsidRDefault="00441154" w:rsidP="00441154">
      <w:pPr>
        <w:pStyle w:val="a3"/>
        <w:spacing w:before="0" w:beforeAutospacing="0" w:after="0" w:afterAutospacing="0" w:line="480" w:lineRule="exact"/>
        <w:ind w:leftChars="42" w:left="101" w:rightChars="-50" w:right="-120" w:firstLineChars="200" w:firstLine="560"/>
        <w:rPr>
          <w:rFonts w:cs="仿宋"/>
          <w:sz w:val="28"/>
          <w:szCs w:val="28"/>
        </w:rPr>
      </w:pPr>
      <w:r>
        <w:rPr>
          <w:rFonts w:cs="仿宋" w:hint="eastAsia"/>
          <w:sz w:val="28"/>
          <w:szCs w:val="28"/>
        </w:rPr>
        <w:t>根据湖南省财政厅、湖南省教育厅的湘财教指[2022]57号文件精神，邵阳市财政局给我校下达高职院校“双一流”建设专项资金286万元，该项目资金于2022年10月8日下达，资金足额拨付到位。开支范围严格执行省教育厅、财政厅相关文件要求，做到专款专用，全年用于“双一流”建设7.27万元，至2023年年初该项目资金已使用183.94万元。</w:t>
      </w:r>
    </w:p>
    <w:p w:rsidR="00441154" w:rsidRDefault="00441154" w:rsidP="00441154">
      <w:pPr>
        <w:pStyle w:val="a3"/>
        <w:spacing w:before="0" w:beforeAutospacing="0" w:after="0" w:afterAutospacing="0" w:line="480" w:lineRule="exact"/>
        <w:ind w:leftChars="42" w:left="101" w:rightChars="-50" w:right="-120" w:firstLineChars="200" w:firstLine="560"/>
        <w:rPr>
          <w:rFonts w:cs="仿宋"/>
          <w:sz w:val="28"/>
          <w:szCs w:val="28"/>
        </w:rPr>
      </w:pPr>
      <w:r>
        <w:rPr>
          <w:rFonts w:cs="仿宋" w:hint="eastAsia"/>
          <w:sz w:val="28"/>
          <w:szCs w:val="28"/>
        </w:rPr>
        <w:t>根据湖南省财政厅、湖南省教育厅的湘财教指[2022]64号文件精神，邵阳市财政局给我校下达高校“双一流”建设专项（高校思政）资金12万元，该项目资金于2022年12月2日下达，资金足额拨付到位。开支范围严格执行省教育厅、财政厅相关文件要求，做到专款专用，全年用于思政课程建设0.36万元，至2023年年初该项目资金已全部用于思政课程建设。</w:t>
      </w:r>
    </w:p>
    <w:p w:rsidR="00441154" w:rsidRDefault="00441154" w:rsidP="00441154">
      <w:pPr>
        <w:pStyle w:val="a3"/>
        <w:spacing w:before="0" w:beforeAutospacing="0" w:after="0" w:afterAutospacing="0" w:line="480" w:lineRule="exact"/>
        <w:ind w:leftChars="42" w:left="101" w:rightChars="-50" w:right="-120" w:firstLineChars="200" w:firstLine="560"/>
        <w:rPr>
          <w:rFonts w:cs="仿宋"/>
          <w:sz w:val="28"/>
          <w:szCs w:val="28"/>
        </w:rPr>
      </w:pPr>
      <w:r>
        <w:rPr>
          <w:rFonts w:cs="仿宋" w:hint="eastAsia"/>
          <w:sz w:val="28"/>
          <w:szCs w:val="28"/>
        </w:rPr>
        <w:t>2022年，本单位项目支出年初预算8024万元，主要是为完成特定教育事业发展目标而发生的支出，其中：按项目管理的商品和服务支出7554万元，按项目管理的对个人和家庭的补助300万元，资本性支出170万元。本单位项目支出年末决算5546.1万元，其中：公用经费2425.9万元，主要用于教学运行及后勤保障；资本性支出2672.5万元，主要用于校园建设、教学设备购置和信息网络及软件购置、归还银行贷款；债务利息和费用支出447.7万元，主要用于支付银行贷款利息。</w:t>
      </w:r>
    </w:p>
    <w:p w:rsidR="00441154" w:rsidRDefault="00441154" w:rsidP="00441154">
      <w:pPr>
        <w:spacing w:line="480" w:lineRule="exact"/>
        <w:rPr>
          <w:rFonts w:cs="仿宋"/>
          <w:b/>
          <w:sz w:val="28"/>
          <w:szCs w:val="28"/>
        </w:rPr>
      </w:pPr>
      <w:r>
        <w:rPr>
          <w:rFonts w:ascii="黑体" w:eastAsia="黑体" w:hAnsi="黑体" w:cs="仿宋" w:hint="eastAsia"/>
          <w:b/>
          <w:sz w:val="30"/>
          <w:szCs w:val="30"/>
        </w:rPr>
        <w:t>三、政府性基金预算支出情况</w:t>
      </w:r>
    </w:p>
    <w:p w:rsidR="00441154" w:rsidRDefault="00441154" w:rsidP="00441154">
      <w:pPr>
        <w:pStyle w:val="a3"/>
        <w:spacing w:before="0" w:beforeAutospacing="0" w:after="0" w:afterAutospacing="0" w:line="480" w:lineRule="exact"/>
        <w:ind w:firstLineChars="200" w:firstLine="560"/>
        <w:rPr>
          <w:rFonts w:cs="仿宋"/>
          <w:sz w:val="28"/>
          <w:szCs w:val="28"/>
        </w:rPr>
      </w:pPr>
      <w:r>
        <w:rPr>
          <w:rFonts w:cs="仿宋" w:hint="eastAsia"/>
          <w:sz w:val="28"/>
          <w:szCs w:val="28"/>
        </w:rPr>
        <w:t>本单位没有政府性基金预算收入，也没有使用政府性基金预算安排的支出。</w:t>
      </w: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四、国有资本经营预算支出情况</w:t>
      </w:r>
    </w:p>
    <w:p w:rsidR="00441154" w:rsidRDefault="00441154" w:rsidP="00441154">
      <w:pPr>
        <w:pStyle w:val="a3"/>
        <w:spacing w:before="0" w:beforeAutospacing="0" w:after="0" w:afterAutospacing="0" w:line="480" w:lineRule="exact"/>
        <w:ind w:firstLineChars="200" w:firstLine="560"/>
        <w:rPr>
          <w:rFonts w:cs="仿宋"/>
          <w:sz w:val="28"/>
          <w:szCs w:val="28"/>
        </w:rPr>
      </w:pPr>
      <w:r>
        <w:rPr>
          <w:rFonts w:cs="仿宋" w:hint="eastAsia"/>
          <w:sz w:val="28"/>
          <w:szCs w:val="28"/>
        </w:rPr>
        <w:t>本单位没有国有资本经营预算收入，也没有使用国有资本经营预算安排的支出。</w:t>
      </w: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五、社会保险基金预算支出情况</w:t>
      </w:r>
    </w:p>
    <w:p w:rsidR="00441154" w:rsidRDefault="00441154" w:rsidP="00441154">
      <w:pPr>
        <w:pStyle w:val="a3"/>
        <w:spacing w:before="0" w:beforeAutospacing="0" w:after="0" w:afterAutospacing="0" w:line="480" w:lineRule="exact"/>
        <w:ind w:firstLineChars="200" w:firstLine="560"/>
        <w:rPr>
          <w:rFonts w:cs="仿宋"/>
          <w:sz w:val="28"/>
          <w:szCs w:val="28"/>
        </w:rPr>
      </w:pPr>
      <w:r>
        <w:rPr>
          <w:rFonts w:cs="仿宋" w:hint="eastAsia"/>
          <w:sz w:val="28"/>
          <w:szCs w:val="28"/>
        </w:rPr>
        <w:lastRenderedPageBreak/>
        <w:t>本单位没有社会保险基金预算收入，也没有使用社会保险基金预算安排的支出。</w:t>
      </w: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六、部门整体支出绩效情况</w:t>
      </w:r>
    </w:p>
    <w:p w:rsidR="00441154" w:rsidRDefault="00441154" w:rsidP="00441154">
      <w:pPr>
        <w:spacing w:line="480" w:lineRule="exact"/>
        <w:ind w:firstLineChars="200" w:firstLine="562"/>
        <w:rPr>
          <w:rFonts w:cs="仿宋"/>
          <w:b/>
          <w:sz w:val="28"/>
          <w:szCs w:val="28"/>
        </w:rPr>
      </w:pPr>
      <w:r>
        <w:rPr>
          <w:rFonts w:cs="仿宋" w:hint="eastAsia"/>
          <w:b/>
          <w:sz w:val="28"/>
          <w:szCs w:val="28"/>
        </w:rPr>
        <w:t>（一）预算执行情况</w:t>
      </w:r>
    </w:p>
    <w:p w:rsidR="00441154" w:rsidRDefault="00441154" w:rsidP="00441154">
      <w:pPr>
        <w:pStyle w:val="a3"/>
        <w:spacing w:before="0" w:beforeAutospacing="0" w:after="0" w:afterAutospacing="0" w:line="480" w:lineRule="exact"/>
        <w:ind w:leftChars="42" w:left="101" w:rightChars="-50" w:right="-120" w:firstLineChars="200" w:firstLine="560"/>
        <w:rPr>
          <w:rFonts w:cs="仿宋"/>
          <w:sz w:val="28"/>
          <w:szCs w:val="28"/>
        </w:rPr>
      </w:pPr>
      <w:r>
        <w:rPr>
          <w:rFonts w:cs="仿宋" w:hint="eastAsia"/>
          <w:sz w:val="28"/>
          <w:szCs w:val="28"/>
        </w:rPr>
        <w:t>年初根据学校工作计划和重点工作安排，坚持量入为出、收支平衡、统筹安排、突出重点、勤俭办学的原则，编制了2022年财务收支预算，经学校教职工代表大会讨论确定后执行。</w:t>
      </w:r>
    </w:p>
    <w:p w:rsidR="00441154" w:rsidRDefault="00441154" w:rsidP="00441154">
      <w:pPr>
        <w:pStyle w:val="a3"/>
        <w:spacing w:before="0" w:beforeAutospacing="0" w:after="0" w:afterAutospacing="0" w:line="480" w:lineRule="exact"/>
        <w:ind w:leftChars="42" w:left="101" w:rightChars="-50" w:right="-120" w:firstLineChars="200" w:firstLine="560"/>
        <w:rPr>
          <w:rFonts w:cs="仿宋"/>
          <w:sz w:val="28"/>
          <w:szCs w:val="28"/>
        </w:rPr>
      </w:pPr>
      <w:r>
        <w:rPr>
          <w:rFonts w:cs="仿宋" w:hint="eastAsia"/>
          <w:sz w:val="28"/>
          <w:szCs w:val="28"/>
        </w:rPr>
        <w:t>2022年年初部门预算整体支出12050.48万元，其中：基本支出预算4026.48万元，包括：工资福利支出3853.78万元</w:t>
      </w:r>
      <w:r>
        <w:rPr>
          <w:rFonts w:hint="eastAsia"/>
          <w:sz w:val="28"/>
          <w:szCs w:val="28"/>
        </w:rPr>
        <w:t xml:space="preserve">； </w:t>
      </w:r>
      <w:r>
        <w:rPr>
          <w:rFonts w:cs="仿宋" w:hint="eastAsia"/>
          <w:sz w:val="28"/>
          <w:szCs w:val="28"/>
        </w:rPr>
        <w:t>商品和服务支出135万元；对个人和家庭补助支出37.7万元。我校全口径“三公”经费预算数为15万元，其中：因公出国（境）费 0万元，公务用车购置及运行费 10万元，公务接待费 5万元。全口径“三公”经费支出为11.36万元，控制率100%。各项支出严格按照年初预算执行，控制不合理支出，年终决算整体支出19990.03万元，重点保证了学校的正常运转和中心工作的开展，达到部门整体支出绩效目标的要求，完成部门整体绩效指标， 教职工基本待遇较上年有所提高。预算执行率165%，资金结余 0 万元。</w:t>
      </w:r>
    </w:p>
    <w:p w:rsidR="00441154" w:rsidRDefault="00441154" w:rsidP="00441154">
      <w:pPr>
        <w:pStyle w:val="a3"/>
        <w:spacing w:before="0" w:beforeAutospacing="0" w:after="0" w:afterAutospacing="0" w:line="480" w:lineRule="exact"/>
        <w:ind w:rightChars="-50" w:right="-120" w:firstLineChars="250" w:firstLine="700"/>
        <w:rPr>
          <w:rFonts w:cs="仿宋"/>
          <w:sz w:val="28"/>
          <w:szCs w:val="28"/>
        </w:rPr>
      </w:pPr>
      <w:r>
        <w:rPr>
          <w:rFonts w:cs="仿宋" w:hint="eastAsia"/>
          <w:sz w:val="28"/>
          <w:szCs w:val="28"/>
        </w:rPr>
        <w:t>项目支出预算8024万元（含纳入专户管理的非税收入拨款4600万元），年终决算项目支出5546.1万元，完成率69.2%，主要原因是年初预算中，人员经费计入了高等职业教育支出的项目支出；年终决算中，人员经费计入了高等职业教育支出的基本支出。</w:t>
      </w:r>
    </w:p>
    <w:p w:rsidR="00441154" w:rsidRDefault="00441154" w:rsidP="00441154">
      <w:pPr>
        <w:pStyle w:val="a3"/>
        <w:adjustRightInd w:val="0"/>
        <w:snapToGrid w:val="0"/>
        <w:spacing w:before="0" w:beforeAutospacing="0" w:after="0" w:afterAutospacing="0" w:line="480" w:lineRule="exact"/>
        <w:ind w:firstLineChars="200" w:firstLine="560"/>
        <w:jc w:val="both"/>
        <w:rPr>
          <w:rFonts w:cs="仿宋"/>
          <w:sz w:val="28"/>
          <w:szCs w:val="28"/>
        </w:rPr>
      </w:pPr>
      <w:r>
        <w:rPr>
          <w:rFonts w:cs="仿宋" w:hint="eastAsia"/>
          <w:sz w:val="28"/>
          <w:szCs w:val="28"/>
        </w:rPr>
        <w:t>大宗物资采购严格执行《采购法》及邵阳市有关政府采购的各项政策，结合学校实际，建立了《邵阳职业技术学院政府采购管理制度》，依法依规实行政府采购，年初编制计划，采购率100%，圆满完成了全年的政府采购任务。采购过程中建立了采购需求制定、采购预算、计划申报、项目评审、现场监督、合同签订及项目验收等关键环节的内部控制制度，形成了由申报单位、监察部门、财务处、资产科等部门之间互相协调、制衡的工作运行机制。</w:t>
      </w:r>
    </w:p>
    <w:p w:rsidR="00441154" w:rsidRDefault="00441154" w:rsidP="00441154">
      <w:pPr>
        <w:spacing w:line="480" w:lineRule="exact"/>
        <w:ind w:firstLineChars="200" w:firstLine="562"/>
        <w:rPr>
          <w:rFonts w:cs="仿宋"/>
          <w:b/>
          <w:sz w:val="28"/>
          <w:szCs w:val="28"/>
        </w:rPr>
      </w:pPr>
      <w:r>
        <w:rPr>
          <w:rFonts w:cs="仿宋" w:hint="eastAsia"/>
          <w:b/>
          <w:sz w:val="28"/>
          <w:szCs w:val="28"/>
        </w:rPr>
        <w:t>（二）预算资金管理情况</w:t>
      </w:r>
    </w:p>
    <w:p w:rsidR="00441154" w:rsidRDefault="00441154" w:rsidP="00441154">
      <w:pPr>
        <w:pStyle w:val="a3"/>
        <w:widowControl w:val="0"/>
        <w:adjustRightInd w:val="0"/>
        <w:snapToGrid w:val="0"/>
        <w:spacing w:before="0" w:beforeAutospacing="0" w:after="0" w:afterAutospacing="0" w:line="480" w:lineRule="exact"/>
        <w:ind w:firstLineChars="200" w:firstLine="560"/>
        <w:jc w:val="both"/>
        <w:rPr>
          <w:rFonts w:cs="仿宋"/>
          <w:sz w:val="28"/>
          <w:szCs w:val="28"/>
        </w:rPr>
      </w:pPr>
      <w:r>
        <w:rPr>
          <w:rFonts w:cs="仿宋" w:hint="eastAsia"/>
          <w:sz w:val="28"/>
          <w:szCs w:val="28"/>
        </w:rPr>
        <w:lastRenderedPageBreak/>
        <w:t>根据学校具体情况，合理配置会计人员，按规定设置会计机构；制定了资金管理办法、内部控制制度，完善了财务收支审批制度，建立了会计工作人员岗位制度等相关制度，会计基础工作规范健全，会计档案管理符合相关规定要求。工作中严格执行内部控制制度，加强和细化了预算编制，确保财务收支平衡，保障学校工作正常开展和教育教学目标的完成。</w:t>
      </w:r>
    </w:p>
    <w:p w:rsidR="00441154" w:rsidRDefault="00441154" w:rsidP="00441154">
      <w:pPr>
        <w:pStyle w:val="a3"/>
        <w:widowControl w:val="0"/>
        <w:adjustRightInd w:val="0"/>
        <w:snapToGrid w:val="0"/>
        <w:spacing w:before="0" w:beforeAutospacing="0" w:after="0" w:afterAutospacing="0" w:line="480" w:lineRule="exact"/>
        <w:ind w:firstLineChars="200" w:firstLine="560"/>
        <w:jc w:val="both"/>
        <w:rPr>
          <w:rFonts w:cs="仿宋"/>
          <w:sz w:val="28"/>
          <w:szCs w:val="28"/>
        </w:rPr>
      </w:pPr>
      <w:r>
        <w:rPr>
          <w:rFonts w:cs="仿宋" w:hint="eastAsia"/>
          <w:sz w:val="28"/>
          <w:szCs w:val="28"/>
        </w:rPr>
        <w:t>项目管理规范，流程合理，从项目立项、申报、招投标直至验收合格交付使用，全过程由相关部门监管到位。</w:t>
      </w:r>
    </w:p>
    <w:p w:rsidR="00441154" w:rsidRDefault="00441154" w:rsidP="00441154">
      <w:pPr>
        <w:pStyle w:val="a3"/>
        <w:widowControl w:val="0"/>
        <w:adjustRightInd w:val="0"/>
        <w:snapToGrid w:val="0"/>
        <w:spacing w:before="0" w:beforeAutospacing="0" w:after="0" w:afterAutospacing="0" w:line="480" w:lineRule="exact"/>
        <w:ind w:firstLineChars="200" w:firstLine="560"/>
        <w:jc w:val="both"/>
        <w:rPr>
          <w:rFonts w:cs="仿宋"/>
          <w:sz w:val="28"/>
          <w:szCs w:val="28"/>
        </w:rPr>
      </w:pPr>
    </w:p>
    <w:p w:rsidR="00441154" w:rsidRDefault="00441154" w:rsidP="00441154">
      <w:pPr>
        <w:spacing w:line="480" w:lineRule="exact"/>
        <w:ind w:firstLineChars="200" w:firstLine="560"/>
        <w:rPr>
          <w:rFonts w:cs="仿宋"/>
          <w:sz w:val="28"/>
          <w:szCs w:val="28"/>
        </w:rPr>
      </w:pPr>
      <w:r>
        <w:rPr>
          <w:rFonts w:cs="仿宋" w:hint="eastAsia"/>
          <w:sz w:val="28"/>
          <w:szCs w:val="28"/>
        </w:rPr>
        <w:t>非税收入严格执行收支两条线，未发生截留、坐支或转移的现象。</w:t>
      </w:r>
    </w:p>
    <w:p w:rsidR="00441154" w:rsidRDefault="00441154" w:rsidP="00441154">
      <w:pPr>
        <w:spacing w:line="480" w:lineRule="exact"/>
        <w:ind w:firstLineChars="200" w:firstLine="560"/>
        <w:rPr>
          <w:rFonts w:cs="仿宋"/>
          <w:sz w:val="28"/>
          <w:szCs w:val="28"/>
        </w:rPr>
      </w:pPr>
      <w:r>
        <w:rPr>
          <w:rFonts w:cs="仿宋" w:hint="eastAsia"/>
          <w:sz w:val="28"/>
          <w:szCs w:val="28"/>
        </w:rPr>
        <w:t>资金使用合法合规，支出符合国家财经法规和财务管理制度规定以及有关专项资金管理办法的规定，无超范围、超预算开支；无截留、挤占、挪用、虚列支出、随意借用、大额现金支付等情况，资金拨付有完整的审批程序和手续，资金支出符合部门预算批复的用途，重大财务事项经由集体研究决策，专项资金做到专款专用，原始凭证的取得真实有效。无超标准发放津补贴、奖金，无用公款支付应由个人支付的款项。</w:t>
      </w:r>
    </w:p>
    <w:p w:rsidR="00441154" w:rsidRDefault="00441154" w:rsidP="00441154">
      <w:pPr>
        <w:spacing w:line="480" w:lineRule="exact"/>
        <w:ind w:firstLineChars="200" w:firstLine="562"/>
        <w:rPr>
          <w:rFonts w:cs="仿宋"/>
          <w:b/>
          <w:sz w:val="28"/>
          <w:szCs w:val="28"/>
        </w:rPr>
      </w:pPr>
      <w:r>
        <w:rPr>
          <w:rFonts w:cs="仿宋" w:hint="eastAsia"/>
          <w:b/>
          <w:sz w:val="28"/>
          <w:szCs w:val="28"/>
        </w:rPr>
        <w:t>（三）资产管理情况</w:t>
      </w:r>
    </w:p>
    <w:p w:rsidR="00441154" w:rsidRDefault="00441154" w:rsidP="00441154">
      <w:pPr>
        <w:spacing w:line="480" w:lineRule="exact"/>
        <w:ind w:firstLineChars="200" w:firstLine="560"/>
        <w:rPr>
          <w:rFonts w:cs="仿宋"/>
          <w:sz w:val="28"/>
          <w:szCs w:val="28"/>
        </w:rPr>
      </w:pPr>
      <w:r>
        <w:rPr>
          <w:rFonts w:cs="仿宋" w:hint="eastAsia"/>
          <w:sz w:val="28"/>
          <w:szCs w:val="28"/>
        </w:rPr>
        <w:t>为加强资产管理，学校制定了国有资产、无形资产、固定资产等一系列完整的管理办法，并严格按照管理办法进行资产管理，每月及时登记入账财政资产管理系统。资产账务管理合规，帐实、账账、账表（决算报表等）相符；资产有偿使用及处置收入及时足额上缴。每月按时报送行政事业单位资产报表。</w:t>
      </w:r>
    </w:p>
    <w:p w:rsidR="00441154" w:rsidRDefault="00441154" w:rsidP="00441154">
      <w:pPr>
        <w:spacing w:line="480" w:lineRule="exact"/>
        <w:ind w:firstLineChars="200" w:firstLine="562"/>
        <w:rPr>
          <w:rFonts w:cs="仿宋"/>
          <w:b/>
          <w:sz w:val="28"/>
          <w:szCs w:val="28"/>
        </w:rPr>
      </w:pPr>
      <w:r>
        <w:rPr>
          <w:rFonts w:cs="仿宋" w:hint="eastAsia"/>
          <w:b/>
          <w:sz w:val="28"/>
          <w:szCs w:val="28"/>
        </w:rPr>
        <w:t>（四）绩效评价工作情况</w:t>
      </w:r>
    </w:p>
    <w:p w:rsidR="00441154" w:rsidRDefault="00441154" w:rsidP="00441154">
      <w:pPr>
        <w:spacing w:line="480" w:lineRule="exact"/>
        <w:ind w:firstLineChars="200" w:firstLine="560"/>
        <w:rPr>
          <w:rFonts w:cs="仿宋"/>
          <w:sz w:val="28"/>
          <w:szCs w:val="28"/>
        </w:rPr>
      </w:pPr>
      <w:r>
        <w:rPr>
          <w:rFonts w:cs="仿宋" w:hint="eastAsia"/>
          <w:sz w:val="28"/>
          <w:szCs w:val="28"/>
        </w:rPr>
        <w:t>为做好绩效评价工作，规范管理预算资金，增收节支，实现管理制度化、规范化、标准化，学校对所有专项资金、项目资金均实行目标管理，及时编制并报送、公开绩效评价，重视绩效评价结果。</w:t>
      </w:r>
    </w:p>
    <w:p w:rsidR="00441154" w:rsidRDefault="00441154" w:rsidP="00441154">
      <w:pPr>
        <w:spacing w:line="480" w:lineRule="exact"/>
        <w:ind w:firstLineChars="200" w:firstLine="562"/>
        <w:rPr>
          <w:rFonts w:cs="仿宋"/>
          <w:b/>
          <w:sz w:val="28"/>
          <w:szCs w:val="28"/>
        </w:rPr>
      </w:pPr>
      <w:r>
        <w:rPr>
          <w:rFonts w:cs="仿宋" w:hint="eastAsia"/>
          <w:b/>
          <w:sz w:val="28"/>
          <w:szCs w:val="28"/>
        </w:rPr>
        <w:t>（五）综合评价情况及评价结论</w:t>
      </w:r>
    </w:p>
    <w:p w:rsidR="00441154" w:rsidRDefault="00441154" w:rsidP="00441154">
      <w:pPr>
        <w:spacing w:line="480" w:lineRule="exact"/>
        <w:ind w:firstLineChars="200" w:firstLine="560"/>
        <w:rPr>
          <w:rFonts w:cs="仿宋"/>
          <w:sz w:val="28"/>
          <w:szCs w:val="28"/>
        </w:rPr>
      </w:pPr>
      <w:r>
        <w:rPr>
          <w:rFonts w:cs="仿宋" w:hint="eastAsia"/>
          <w:sz w:val="28"/>
          <w:szCs w:val="28"/>
        </w:rPr>
        <w:lastRenderedPageBreak/>
        <w:t>1、通过资料收集、整理、审核和自评分析，学校财务管理规范，预算执行严格。</w:t>
      </w:r>
    </w:p>
    <w:p w:rsidR="00441154" w:rsidRDefault="00441154" w:rsidP="00441154">
      <w:pPr>
        <w:spacing w:line="480" w:lineRule="exact"/>
        <w:ind w:firstLineChars="200" w:firstLine="560"/>
        <w:rPr>
          <w:rFonts w:cs="仿宋"/>
          <w:sz w:val="28"/>
          <w:szCs w:val="28"/>
        </w:rPr>
      </w:pPr>
      <w:r>
        <w:rPr>
          <w:rFonts w:cs="仿宋" w:hint="eastAsia"/>
          <w:sz w:val="28"/>
          <w:szCs w:val="28"/>
        </w:rPr>
        <w:t>2、在职人员控制、政府采购和“三公”经费预算等方面严格执行上级政策要求。</w:t>
      </w:r>
    </w:p>
    <w:p w:rsidR="00441154" w:rsidRDefault="00441154" w:rsidP="00441154">
      <w:pPr>
        <w:spacing w:line="480" w:lineRule="exact"/>
        <w:ind w:firstLineChars="200" w:firstLine="560"/>
        <w:rPr>
          <w:rFonts w:cs="仿宋"/>
          <w:sz w:val="28"/>
          <w:szCs w:val="28"/>
        </w:rPr>
      </w:pPr>
      <w:r>
        <w:rPr>
          <w:rFonts w:cs="仿宋" w:hint="eastAsia"/>
          <w:sz w:val="28"/>
          <w:szCs w:val="28"/>
        </w:rPr>
        <w:t>3、学校内控制度健全，财务管理、会计核算和专项资金、项目资金管理、 资产管理等各项制度完善，相关管理制度合法、合规、完整，资金支出符合国家财经法律法规和财务管理制度以及有关专项资金、项目资金管理办法的规定。</w:t>
      </w:r>
    </w:p>
    <w:p w:rsidR="00441154" w:rsidRDefault="00441154" w:rsidP="00441154">
      <w:pPr>
        <w:spacing w:line="480" w:lineRule="exact"/>
        <w:ind w:firstLineChars="200" w:firstLine="560"/>
        <w:rPr>
          <w:rFonts w:cs="仿宋"/>
          <w:sz w:val="28"/>
          <w:szCs w:val="28"/>
        </w:rPr>
      </w:pPr>
      <w:r>
        <w:rPr>
          <w:rFonts w:cs="仿宋" w:hint="eastAsia"/>
          <w:sz w:val="28"/>
          <w:szCs w:val="28"/>
        </w:rPr>
        <w:t>4、圆满完成学校职代会确定的全年工作任务，教学质量稳步提升，综合实力逐步增强，师生满意度和社会知名度提高。</w:t>
      </w:r>
    </w:p>
    <w:p w:rsidR="00441154" w:rsidRDefault="00441154" w:rsidP="00441154">
      <w:pPr>
        <w:spacing w:line="480" w:lineRule="exact"/>
        <w:ind w:firstLineChars="200" w:firstLine="560"/>
        <w:rPr>
          <w:rFonts w:cs="仿宋"/>
          <w:sz w:val="28"/>
          <w:szCs w:val="28"/>
        </w:rPr>
      </w:pPr>
      <w:r>
        <w:rPr>
          <w:rFonts w:cs="仿宋" w:hint="eastAsia"/>
          <w:sz w:val="28"/>
          <w:szCs w:val="28"/>
        </w:rPr>
        <w:t>根据综合评价得出，学校整体支出绩效自评良好。</w:t>
      </w:r>
    </w:p>
    <w:p w:rsidR="00441154" w:rsidRDefault="00441154" w:rsidP="00441154">
      <w:pPr>
        <w:spacing w:line="480" w:lineRule="exact"/>
        <w:ind w:firstLineChars="200" w:firstLine="560"/>
        <w:rPr>
          <w:rFonts w:cs="仿宋"/>
          <w:sz w:val="28"/>
          <w:szCs w:val="28"/>
        </w:rPr>
      </w:pP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七、存在的问题及原因分析</w:t>
      </w:r>
    </w:p>
    <w:p w:rsidR="00441154" w:rsidRDefault="00441154" w:rsidP="00441154">
      <w:pPr>
        <w:spacing w:line="480" w:lineRule="exact"/>
        <w:ind w:firstLineChars="200" w:firstLine="560"/>
        <w:rPr>
          <w:rFonts w:cs="仿宋"/>
          <w:sz w:val="28"/>
          <w:szCs w:val="28"/>
        </w:rPr>
      </w:pPr>
      <w:r>
        <w:rPr>
          <w:rFonts w:cs="仿宋" w:hint="eastAsia"/>
          <w:sz w:val="28"/>
          <w:szCs w:val="28"/>
        </w:rPr>
        <w:t>1、预算编制不够精准，部分项目指标的预算编制与年终决算有些脱钩，导致执行过程中进行预算调整。</w:t>
      </w:r>
    </w:p>
    <w:p w:rsidR="00441154" w:rsidRDefault="00441154" w:rsidP="00441154">
      <w:pPr>
        <w:spacing w:line="480" w:lineRule="exact"/>
        <w:ind w:firstLineChars="200" w:firstLine="560"/>
        <w:rPr>
          <w:rFonts w:cs="仿宋"/>
          <w:sz w:val="28"/>
          <w:szCs w:val="28"/>
        </w:rPr>
      </w:pPr>
      <w:r>
        <w:rPr>
          <w:rFonts w:cs="仿宋" w:hint="eastAsia"/>
          <w:sz w:val="28"/>
          <w:szCs w:val="28"/>
        </w:rPr>
        <w:t>2、教职工绩效评价意识有待加强，“重预算，轻绩效”、“重分配，轻监督”的思想还未彻底克服。</w:t>
      </w: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八、下一步改进措施</w:t>
      </w:r>
    </w:p>
    <w:p w:rsidR="00441154" w:rsidRDefault="00441154" w:rsidP="00441154">
      <w:pPr>
        <w:spacing w:line="480" w:lineRule="exact"/>
        <w:ind w:firstLineChars="200" w:firstLine="560"/>
        <w:rPr>
          <w:rFonts w:cs="仿宋"/>
          <w:sz w:val="28"/>
          <w:szCs w:val="28"/>
        </w:rPr>
      </w:pPr>
      <w:r>
        <w:rPr>
          <w:rFonts w:cs="仿宋" w:hint="eastAsia"/>
          <w:sz w:val="28"/>
          <w:szCs w:val="28"/>
        </w:rPr>
        <w:t>1、强化对预算执行过程的管理和监督，完善预算管理制度；加强预算编制人员的综合业务能力，提高预算管理水平。</w:t>
      </w:r>
    </w:p>
    <w:p w:rsidR="00441154" w:rsidRDefault="00441154" w:rsidP="00441154">
      <w:pPr>
        <w:spacing w:line="480" w:lineRule="exact"/>
        <w:ind w:firstLineChars="200" w:firstLine="560"/>
        <w:rPr>
          <w:rFonts w:cs="仿宋"/>
          <w:sz w:val="28"/>
          <w:szCs w:val="28"/>
        </w:rPr>
      </w:pPr>
      <w:r>
        <w:rPr>
          <w:rFonts w:cs="仿宋" w:hint="eastAsia"/>
          <w:sz w:val="28"/>
          <w:szCs w:val="28"/>
        </w:rPr>
        <w:t>2、建立健全财政整体支出绩效评价制度,建立面向绩效评价的预算管理体系，并贯穿于预算编制、执行和绩效评价全过程。</w:t>
      </w:r>
    </w:p>
    <w:p w:rsidR="00441154" w:rsidRDefault="00441154" w:rsidP="00441154">
      <w:pPr>
        <w:spacing w:line="480" w:lineRule="exact"/>
        <w:ind w:firstLineChars="200" w:firstLine="560"/>
        <w:rPr>
          <w:rFonts w:cs="仿宋"/>
          <w:sz w:val="28"/>
          <w:szCs w:val="28"/>
        </w:rPr>
      </w:pPr>
      <w:r>
        <w:rPr>
          <w:rFonts w:cs="仿宋" w:hint="eastAsia"/>
          <w:sz w:val="28"/>
          <w:szCs w:val="28"/>
        </w:rPr>
        <w:t>3、对单位预算资金的使用情况实时监督，确保资金的流向和使用符合预算目标，对出现的偏差及时纠正。</w:t>
      </w:r>
    </w:p>
    <w:p w:rsidR="00441154" w:rsidRDefault="00441154" w:rsidP="00441154">
      <w:pPr>
        <w:spacing w:line="480" w:lineRule="exact"/>
        <w:ind w:firstLineChars="200" w:firstLine="560"/>
        <w:rPr>
          <w:rFonts w:cs="仿宋"/>
          <w:sz w:val="28"/>
          <w:szCs w:val="28"/>
        </w:rPr>
      </w:pPr>
      <w:r>
        <w:rPr>
          <w:rFonts w:cs="仿宋" w:hint="eastAsia"/>
          <w:sz w:val="28"/>
          <w:szCs w:val="28"/>
        </w:rPr>
        <w:t>4、落实经费责任，强化资金管理，提高专项资金专款专用意识，确保资金安全有效。</w:t>
      </w: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九、部门整体支出绩效自评结果拟应用和公开情况</w:t>
      </w:r>
    </w:p>
    <w:p w:rsidR="00441154" w:rsidRDefault="00441154" w:rsidP="00441154">
      <w:pPr>
        <w:spacing w:line="480" w:lineRule="exact"/>
        <w:ind w:firstLineChars="200" w:firstLine="560"/>
        <w:rPr>
          <w:rFonts w:cs="仿宋"/>
          <w:sz w:val="28"/>
          <w:szCs w:val="28"/>
        </w:rPr>
      </w:pPr>
      <w:r>
        <w:rPr>
          <w:rFonts w:cs="仿宋" w:hint="eastAsia"/>
          <w:sz w:val="28"/>
          <w:szCs w:val="28"/>
        </w:rPr>
        <w:lastRenderedPageBreak/>
        <w:t>我校高度重视整体支出绩效评价结果的应用，积极探索多渠道应用评价结果的有效机制，着力提高绩效意识和资金使用效益。绩效自评结果除上报湖南省教育厅外，同时在学院信息网公开。</w:t>
      </w:r>
    </w:p>
    <w:p w:rsidR="00441154" w:rsidRDefault="00441154" w:rsidP="00441154">
      <w:pPr>
        <w:spacing w:line="480" w:lineRule="exact"/>
        <w:rPr>
          <w:rFonts w:ascii="黑体" w:eastAsia="黑体" w:hAnsi="黑体" w:cs="仿宋"/>
          <w:b/>
          <w:sz w:val="30"/>
          <w:szCs w:val="30"/>
        </w:rPr>
      </w:pPr>
      <w:r>
        <w:rPr>
          <w:rFonts w:ascii="黑体" w:eastAsia="黑体" w:hAnsi="黑体" w:cs="仿宋" w:hint="eastAsia"/>
          <w:b/>
          <w:sz w:val="30"/>
          <w:szCs w:val="30"/>
        </w:rPr>
        <w:t>十、附件</w:t>
      </w:r>
    </w:p>
    <w:p w:rsidR="00441154" w:rsidRDefault="00441154" w:rsidP="00441154">
      <w:pPr>
        <w:spacing w:line="480" w:lineRule="exact"/>
        <w:ind w:firstLineChars="200" w:firstLine="560"/>
        <w:rPr>
          <w:sz w:val="28"/>
          <w:szCs w:val="28"/>
        </w:rPr>
      </w:pPr>
      <w:r>
        <w:rPr>
          <w:rFonts w:hint="eastAsia"/>
          <w:sz w:val="28"/>
          <w:szCs w:val="28"/>
        </w:rPr>
        <w:t>部门整体支出绩效评价基础数据表</w:t>
      </w:r>
    </w:p>
    <w:p w:rsidR="00441154" w:rsidRDefault="00441154" w:rsidP="00441154">
      <w:pPr>
        <w:spacing w:line="480" w:lineRule="exact"/>
        <w:ind w:firstLineChars="200" w:firstLine="560"/>
        <w:rPr>
          <w:sz w:val="28"/>
          <w:szCs w:val="28"/>
        </w:rPr>
      </w:pPr>
      <w:r>
        <w:rPr>
          <w:rFonts w:hint="eastAsia"/>
          <w:sz w:val="28"/>
          <w:szCs w:val="28"/>
        </w:rPr>
        <w:t>部门整体支出绩效自评表</w:t>
      </w:r>
    </w:p>
    <w:p w:rsidR="00441154" w:rsidRDefault="00441154" w:rsidP="00441154">
      <w:pPr>
        <w:spacing w:line="480" w:lineRule="exact"/>
        <w:ind w:right="240" w:firstLineChars="2050" w:firstLine="5740"/>
        <w:jc w:val="both"/>
        <w:rPr>
          <w:rFonts w:cs="仿宋"/>
          <w:sz w:val="28"/>
          <w:szCs w:val="28"/>
        </w:rPr>
      </w:pPr>
      <w:r>
        <w:rPr>
          <w:rFonts w:cs="仿宋" w:hint="eastAsia"/>
          <w:sz w:val="28"/>
          <w:szCs w:val="28"/>
        </w:rPr>
        <w:t>邵阳职业技术学院</w:t>
      </w:r>
    </w:p>
    <w:p w:rsidR="00441154" w:rsidRDefault="00441154" w:rsidP="00441154">
      <w:pPr>
        <w:spacing w:line="480" w:lineRule="exact"/>
        <w:ind w:right="240" w:firstLineChars="2050" w:firstLine="5740"/>
        <w:jc w:val="both"/>
        <w:rPr>
          <w:rFonts w:cs="仿宋"/>
          <w:sz w:val="28"/>
          <w:szCs w:val="28"/>
        </w:rPr>
      </w:pPr>
      <w:r>
        <w:rPr>
          <w:rFonts w:cs="仿宋" w:hint="eastAsia"/>
          <w:sz w:val="28"/>
          <w:szCs w:val="28"/>
        </w:rPr>
        <w:t>2023年5月13日</w:t>
      </w:r>
    </w:p>
    <w:p w:rsidR="00441154" w:rsidRDefault="00441154" w:rsidP="00441154">
      <w:pPr>
        <w:spacing w:line="440" w:lineRule="exact"/>
        <w:rPr>
          <w:rFonts w:cs="仿宋"/>
          <w:sz w:val="28"/>
          <w:szCs w:val="28"/>
        </w:rPr>
      </w:pPr>
    </w:p>
    <w:p w:rsidR="00441154" w:rsidRDefault="00441154" w:rsidP="00441154">
      <w:pPr>
        <w:spacing w:before="307"/>
        <w:jc w:val="center"/>
        <w:rPr>
          <w:sz w:val="35"/>
          <w:szCs w:val="35"/>
        </w:rPr>
      </w:pPr>
      <w:r>
        <w:rPr>
          <w:rFonts w:hint="eastAsia"/>
          <w:b/>
          <w:bCs/>
          <w:spacing w:val="10"/>
          <w:sz w:val="35"/>
          <w:szCs w:val="35"/>
        </w:rPr>
        <w:t>2022年度部门整体支出绩效评价基础数据</w:t>
      </w:r>
      <w:r>
        <w:rPr>
          <w:rFonts w:hint="eastAsia"/>
          <w:b/>
          <w:bCs/>
          <w:spacing w:val="9"/>
          <w:sz w:val="35"/>
          <w:szCs w:val="35"/>
        </w:rPr>
        <w:t>表</w:t>
      </w:r>
    </w:p>
    <w:p w:rsidR="00441154" w:rsidRDefault="00441154" w:rsidP="00441154">
      <w:pPr>
        <w:spacing w:line="115" w:lineRule="exact"/>
      </w:pPr>
    </w:p>
    <w:tbl>
      <w:tblPr>
        <w:tblStyle w:val="TableNormal"/>
        <w:tblW w:w="10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4"/>
        <w:gridCol w:w="1547"/>
        <w:gridCol w:w="779"/>
        <w:gridCol w:w="1346"/>
        <w:gridCol w:w="823"/>
        <w:gridCol w:w="1472"/>
        <w:gridCol w:w="1304"/>
      </w:tblGrid>
      <w:tr w:rsidR="00441154" w:rsidTr="005A1087">
        <w:trPr>
          <w:trHeight w:val="355"/>
          <w:jc w:val="center"/>
        </w:trPr>
        <w:tc>
          <w:tcPr>
            <w:tcW w:w="2974" w:type="dxa"/>
            <w:vMerge w:val="restart"/>
            <w:tcBorders>
              <w:top w:val="single" w:sz="4" w:space="0" w:color="000000"/>
              <w:left w:val="single" w:sz="4" w:space="0" w:color="000000"/>
              <w:bottom w:val="nil"/>
              <w:right w:val="single" w:sz="4" w:space="0" w:color="000000"/>
            </w:tcBorders>
          </w:tcPr>
          <w:p w:rsidR="00441154" w:rsidRDefault="00441154" w:rsidP="005A1087">
            <w:pPr>
              <w:spacing w:before="262"/>
              <w:ind w:left="575"/>
              <w:jc w:val="center"/>
              <w:rPr>
                <w:sz w:val="20"/>
                <w:szCs w:val="20"/>
              </w:rPr>
            </w:pPr>
            <w:r>
              <w:rPr>
                <w:rFonts w:hint="eastAsia"/>
                <w:spacing w:val="3"/>
                <w:sz w:val="20"/>
                <w:szCs w:val="20"/>
              </w:rPr>
              <w:t>财政供养人员情况(人)</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编制数</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2022年实际在职人数</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控制率</w:t>
            </w:r>
          </w:p>
        </w:tc>
      </w:tr>
      <w:tr w:rsidR="00441154" w:rsidTr="005A1087">
        <w:trPr>
          <w:trHeight w:val="359"/>
          <w:jc w:val="center"/>
        </w:trPr>
        <w:tc>
          <w:tcPr>
            <w:tcW w:w="2974" w:type="dxa"/>
            <w:vMerge/>
            <w:tcBorders>
              <w:top w:val="single" w:sz="4" w:space="0" w:color="000000"/>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480</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448</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100%</w:t>
            </w:r>
          </w:p>
        </w:tc>
      </w:tr>
      <w:tr w:rsidR="00441154" w:rsidTr="005A1087">
        <w:trPr>
          <w:trHeight w:val="359"/>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40"/>
              <w:ind w:left="684"/>
              <w:jc w:val="center"/>
              <w:rPr>
                <w:sz w:val="20"/>
                <w:szCs w:val="20"/>
              </w:rPr>
            </w:pPr>
            <w:r>
              <w:rPr>
                <w:rFonts w:hint="eastAsia"/>
                <w:spacing w:val="4"/>
                <w:sz w:val="20"/>
                <w:szCs w:val="20"/>
              </w:rPr>
              <w:t>经费控制情况(万元)</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2021年决算数</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2022年预算数</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2022年决算数</w:t>
            </w:r>
          </w:p>
        </w:tc>
      </w:tr>
      <w:tr w:rsidR="00441154" w:rsidTr="005A1087">
        <w:trPr>
          <w:trHeight w:val="36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41"/>
              <w:ind w:left="114"/>
              <w:jc w:val="center"/>
              <w:rPr>
                <w:sz w:val="20"/>
                <w:szCs w:val="20"/>
              </w:rPr>
            </w:pPr>
            <w:r>
              <w:rPr>
                <w:rFonts w:hint="eastAsia"/>
                <w:spacing w:val="3"/>
                <w:sz w:val="20"/>
                <w:szCs w:val="20"/>
              </w:rPr>
              <w:t>三公经费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12.63</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15</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10.88</w:t>
            </w:r>
          </w:p>
        </w:tc>
      </w:tr>
      <w:tr w:rsidR="00441154" w:rsidTr="005A1087">
        <w:trPr>
          <w:trHeight w:val="359"/>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49"/>
              <w:jc w:val="center"/>
              <w:rPr>
                <w:sz w:val="20"/>
                <w:szCs w:val="20"/>
              </w:rPr>
            </w:pPr>
            <w:r>
              <w:rPr>
                <w:rFonts w:hint="eastAsia"/>
                <w:sz w:val="20"/>
                <w:szCs w:val="20"/>
              </w:rPr>
              <w:t>1、公务用车购置和维护经费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10.76</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10</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10</w:t>
            </w:r>
          </w:p>
        </w:tc>
      </w:tr>
      <w:tr w:rsidR="00441154" w:rsidTr="005A1087">
        <w:trPr>
          <w:trHeight w:val="36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81"/>
              <w:ind w:left="814"/>
              <w:jc w:val="center"/>
              <w:rPr>
                <w:sz w:val="20"/>
                <w:szCs w:val="20"/>
              </w:rPr>
            </w:pPr>
            <w:r>
              <w:rPr>
                <w:rFonts w:hint="eastAsia"/>
                <w:spacing w:val="-2"/>
                <w:sz w:val="20"/>
                <w:szCs w:val="20"/>
              </w:rPr>
              <w:t>其中：公车购置</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0</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0</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0</w:t>
            </w:r>
          </w:p>
        </w:tc>
      </w:tr>
      <w:tr w:rsidR="00441154" w:rsidTr="005A1087">
        <w:trPr>
          <w:trHeight w:val="37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91"/>
              <w:ind w:left="1424"/>
              <w:jc w:val="center"/>
              <w:rPr>
                <w:sz w:val="20"/>
                <w:szCs w:val="20"/>
              </w:rPr>
            </w:pPr>
            <w:r>
              <w:rPr>
                <w:rFonts w:hint="eastAsia"/>
                <w:spacing w:val="2"/>
                <w:sz w:val="20"/>
                <w:szCs w:val="20"/>
              </w:rPr>
              <w:t>公车运行维护</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10.76</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10</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10</w:t>
            </w:r>
          </w:p>
        </w:tc>
      </w:tr>
      <w:tr w:rsidR="00441154" w:rsidTr="005A1087">
        <w:trPr>
          <w:trHeight w:val="349"/>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81"/>
              <w:ind w:left="384"/>
              <w:jc w:val="center"/>
              <w:rPr>
                <w:sz w:val="20"/>
                <w:szCs w:val="20"/>
              </w:rPr>
            </w:pPr>
            <w:r>
              <w:rPr>
                <w:rFonts w:hint="eastAsia"/>
                <w:spacing w:val="2"/>
                <w:sz w:val="20"/>
                <w:szCs w:val="20"/>
              </w:rPr>
              <w:t>2、出国经费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0</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0</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0</w:t>
            </w:r>
          </w:p>
        </w:tc>
      </w:tr>
      <w:tr w:rsidR="00441154" w:rsidTr="005A1087">
        <w:trPr>
          <w:trHeight w:val="359"/>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82"/>
              <w:ind w:left="384"/>
              <w:jc w:val="center"/>
              <w:rPr>
                <w:sz w:val="20"/>
                <w:szCs w:val="20"/>
              </w:rPr>
            </w:pPr>
            <w:r>
              <w:rPr>
                <w:rFonts w:hint="eastAsia"/>
                <w:spacing w:val="1"/>
                <w:sz w:val="20"/>
                <w:szCs w:val="20"/>
              </w:rPr>
              <w:t>3、公务接待</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1.87</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5</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0.88</w:t>
            </w:r>
          </w:p>
        </w:tc>
      </w:tr>
      <w:tr w:rsidR="00441154" w:rsidTr="005A1087">
        <w:trPr>
          <w:trHeight w:val="36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43"/>
              <w:ind w:left="84"/>
              <w:jc w:val="center"/>
              <w:rPr>
                <w:sz w:val="20"/>
                <w:szCs w:val="20"/>
              </w:rPr>
            </w:pPr>
            <w:r>
              <w:rPr>
                <w:rFonts w:hint="eastAsia"/>
                <w:spacing w:val="19"/>
                <w:sz w:val="20"/>
                <w:szCs w:val="20"/>
              </w:rPr>
              <w:t>项目支出：</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3005.51</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8024</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5546.09</w:t>
            </w:r>
          </w:p>
        </w:tc>
      </w:tr>
      <w:tr w:rsidR="00441154" w:rsidTr="005A1087">
        <w:trPr>
          <w:trHeight w:val="35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33"/>
              <w:ind w:left="384"/>
              <w:jc w:val="center"/>
              <w:rPr>
                <w:sz w:val="20"/>
                <w:szCs w:val="20"/>
              </w:rPr>
            </w:pPr>
            <w:r>
              <w:rPr>
                <w:rFonts w:hint="eastAsia"/>
                <w:spacing w:val="1"/>
                <w:sz w:val="20"/>
                <w:szCs w:val="20"/>
              </w:rPr>
              <w:t>1、业务工作经费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r>
      <w:tr w:rsidR="00441154" w:rsidTr="005A1087">
        <w:trPr>
          <w:trHeight w:val="37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43"/>
              <w:ind w:left="384"/>
              <w:jc w:val="center"/>
              <w:rPr>
                <w:sz w:val="20"/>
                <w:szCs w:val="20"/>
              </w:rPr>
            </w:pPr>
            <w:r>
              <w:rPr>
                <w:rFonts w:hint="eastAsia"/>
                <w:spacing w:val="1"/>
                <w:sz w:val="20"/>
                <w:szCs w:val="20"/>
              </w:rPr>
              <w:t>2、运行维护经费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r>
      <w:tr w:rsidR="00441154" w:rsidTr="005A1087">
        <w:trPr>
          <w:trHeight w:val="35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jc w:val="center"/>
            </w:pP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r>
      <w:tr w:rsidR="00441154" w:rsidTr="005A1087">
        <w:trPr>
          <w:trHeight w:val="369"/>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93"/>
              <w:ind w:left="74"/>
              <w:jc w:val="center"/>
              <w:rPr>
                <w:sz w:val="20"/>
                <w:szCs w:val="20"/>
              </w:rPr>
            </w:pPr>
            <w:r>
              <w:rPr>
                <w:rFonts w:hint="eastAsia"/>
                <w:spacing w:val="2"/>
                <w:sz w:val="20"/>
                <w:szCs w:val="20"/>
              </w:rPr>
              <w:t>3、省级专项资金(一个专项一行)</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r>
      <w:tr w:rsidR="00441154" w:rsidTr="005A1087">
        <w:trPr>
          <w:trHeight w:val="36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jc w:val="center"/>
            </w:pP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r>
      <w:tr w:rsidR="00441154" w:rsidTr="005A1087">
        <w:trPr>
          <w:trHeight w:val="359"/>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85"/>
              <w:ind w:left="94"/>
              <w:jc w:val="center"/>
              <w:rPr>
                <w:sz w:val="20"/>
                <w:szCs w:val="20"/>
              </w:rPr>
            </w:pPr>
            <w:r>
              <w:rPr>
                <w:rFonts w:hint="eastAsia"/>
                <w:spacing w:val="3"/>
                <w:sz w:val="20"/>
                <w:szCs w:val="20"/>
              </w:rPr>
              <w:t>公用经费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3297.29</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135</w:t>
            </w: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1618.36</w:t>
            </w:r>
          </w:p>
        </w:tc>
      </w:tr>
      <w:tr w:rsidR="00441154" w:rsidTr="005A1087">
        <w:trPr>
          <w:trHeight w:val="36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85"/>
              <w:ind w:left="384"/>
              <w:jc w:val="center"/>
              <w:rPr>
                <w:sz w:val="20"/>
                <w:szCs w:val="20"/>
              </w:rPr>
            </w:pPr>
            <w:r>
              <w:rPr>
                <w:rFonts w:hint="eastAsia"/>
                <w:spacing w:val="1"/>
                <w:sz w:val="20"/>
                <w:szCs w:val="20"/>
              </w:rPr>
              <w:t>其中：办公经费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37.76</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15.6</w:t>
            </w:r>
          </w:p>
        </w:tc>
      </w:tr>
      <w:tr w:rsidR="00441154" w:rsidTr="005A1087">
        <w:trPr>
          <w:trHeight w:val="35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441154">
            <w:pPr>
              <w:spacing w:before="135"/>
              <w:ind w:firstLineChars="500" w:firstLine="1010"/>
              <w:jc w:val="center"/>
              <w:rPr>
                <w:sz w:val="20"/>
                <w:szCs w:val="20"/>
              </w:rPr>
            </w:pPr>
            <w:r>
              <w:rPr>
                <w:rFonts w:hint="eastAsia"/>
                <w:spacing w:val="1"/>
                <w:sz w:val="20"/>
                <w:szCs w:val="20"/>
              </w:rPr>
              <w:t>水费、电费、差旅费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790.28</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164.84</w:t>
            </w:r>
          </w:p>
        </w:tc>
      </w:tr>
      <w:tr w:rsidR="00441154" w:rsidTr="005A1087">
        <w:trPr>
          <w:trHeight w:val="359"/>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441154">
            <w:pPr>
              <w:spacing w:before="144"/>
              <w:ind w:firstLineChars="500" w:firstLine="990"/>
              <w:jc w:val="center"/>
              <w:rPr>
                <w:sz w:val="20"/>
                <w:szCs w:val="20"/>
              </w:rPr>
            </w:pPr>
            <w:r>
              <w:rPr>
                <w:rFonts w:hint="eastAsia"/>
                <w:spacing w:val="-1"/>
                <w:sz w:val="20"/>
                <w:szCs w:val="20"/>
              </w:rPr>
              <w:t>会议费、培训费</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128.4</w:t>
            </w: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32.84</w:t>
            </w:r>
          </w:p>
        </w:tc>
      </w:tr>
      <w:tr w:rsidR="00441154" w:rsidTr="005A1087">
        <w:trPr>
          <w:trHeight w:val="35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45"/>
              <w:ind w:left="104"/>
              <w:jc w:val="center"/>
              <w:rPr>
                <w:sz w:val="20"/>
                <w:szCs w:val="20"/>
              </w:rPr>
            </w:pPr>
            <w:r>
              <w:rPr>
                <w:rFonts w:hint="eastAsia"/>
                <w:spacing w:val="-1"/>
                <w:sz w:val="20"/>
                <w:szCs w:val="20"/>
              </w:rPr>
              <w:lastRenderedPageBreak/>
              <w:t>政府采购金额</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r>
              <w:rPr>
                <w:rFonts w:hint="eastAsia"/>
                <w:spacing w:val="-2"/>
                <w:sz w:val="20"/>
                <w:szCs w:val="20"/>
              </w:rPr>
              <w:t>1006.16</w:t>
            </w:r>
          </w:p>
        </w:tc>
      </w:tr>
      <w:tr w:rsidR="00441154" w:rsidTr="005A1087">
        <w:trPr>
          <w:trHeight w:val="360"/>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45"/>
              <w:ind w:left="114"/>
              <w:jc w:val="center"/>
              <w:rPr>
                <w:sz w:val="20"/>
                <w:szCs w:val="20"/>
              </w:rPr>
            </w:pPr>
            <w:r>
              <w:rPr>
                <w:rFonts w:hint="eastAsia"/>
                <w:spacing w:val="1"/>
                <w:sz w:val="20"/>
                <w:szCs w:val="20"/>
              </w:rPr>
              <w:t>部门基本支出预算调整</w:t>
            </w:r>
          </w:p>
        </w:tc>
        <w:tc>
          <w:tcPr>
            <w:tcW w:w="232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169"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c>
          <w:tcPr>
            <w:tcW w:w="2776" w:type="dxa"/>
            <w:gridSpan w:val="2"/>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ind w:left="413"/>
              <w:jc w:val="center"/>
              <w:rPr>
                <w:spacing w:val="-2"/>
                <w:sz w:val="20"/>
                <w:szCs w:val="20"/>
              </w:rPr>
            </w:pPr>
          </w:p>
        </w:tc>
      </w:tr>
      <w:tr w:rsidR="00441154" w:rsidTr="005A1087">
        <w:trPr>
          <w:trHeight w:val="750"/>
          <w:jc w:val="center"/>
        </w:trPr>
        <w:tc>
          <w:tcPr>
            <w:tcW w:w="2974" w:type="dxa"/>
            <w:vMerge w:val="restart"/>
            <w:tcBorders>
              <w:top w:val="nil"/>
              <w:left w:val="single" w:sz="4" w:space="0" w:color="000000"/>
              <w:bottom w:val="nil"/>
              <w:right w:val="single" w:sz="4" w:space="0" w:color="000000"/>
            </w:tcBorders>
            <w:vAlign w:val="center"/>
          </w:tcPr>
          <w:p w:rsidR="00441154" w:rsidRDefault="00441154" w:rsidP="005A1087">
            <w:pPr>
              <w:spacing w:before="65" w:line="390" w:lineRule="exact"/>
              <w:jc w:val="center"/>
              <w:rPr>
                <w:sz w:val="20"/>
                <w:szCs w:val="20"/>
              </w:rPr>
            </w:pPr>
            <w:r>
              <w:rPr>
                <w:rFonts w:hint="eastAsia"/>
                <w:spacing w:val="-1"/>
                <w:position w:val="14"/>
                <w:sz w:val="20"/>
                <w:szCs w:val="20"/>
              </w:rPr>
              <w:t>楼堂馆所控制情况</w:t>
            </w:r>
          </w:p>
          <w:p w:rsidR="00441154" w:rsidRDefault="00441154" w:rsidP="005A1087">
            <w:pPr>
              <w:jc w:val="center"/>
              <w:rPr>
                <w:sz w:val="20"/>
                <w:szCs w:val="20"/>
              </w:rPr>
            </w:pPr>
            <w:r>
              <w:rPr>
                <w:rFonts w:hint="eastAsia"/>
                <w:spacing w:val="3"/>
                <w:sz w:val="20"/>
                <w:szCs w:val="20"/>
              </w:rPr>
              <w:t>(2022年完工项目)</w:t>
            </w:r>
          </w:p>
        </w:tc>
        <w:tc>
          <w:tcPr>
            <w:tcW w:w="1547"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jc w:val="center"/>
              <w:rPr>
                <w:spacing w:val="-2"/>
                <w:sz w:val="20"/>
                <w:szCs w:val="20"/>
              </w:rPr>
            </w:pPr>
            <w:r>
              <w:rPr>
                <w:rFonts w:hint="eastAsia"/>
                <w:spacing w:val="-2"/>
                <w:sz w:val="20"/>
                <w:szCs w:val="20"/>
              </w:rPr>
              <w:t>批复规模(m²)</w:t>
            </w:r>
          </w:p>
        </w:tc>
        <w:tc>
          <w:tcPr>
            <w:tcW w:w="779"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jc w:val="center"/>
              <w:rPr>
                <w:spacing w:val="-2"/>
                <w:sz w:val="20"/>
                <w:szCs w:val="20"/>
              </w:rPr>
            </w:pPr>
            <w:r>
              <w:rPr>
                <w:rFonts w:hint="eastAsia"/>
                <w:spacing w:val="-2"/>
                <w:sz w:val="20"/>
                <w:szCs w:val="20"/>
              </w:rPr>
              <w:t>实际规模(m²)</w:t>
            </w:r>
          </w:p>
        </w:tc>
        <w:tc>
          <w:tcPr>
            <w:tcW w:w="1346"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jc w:val="center"/>
              <w:rPr>
                <w:spacing w:val="-2"/>
                <w:sz w:val="20"/>
                <w:szCs w:val="20"/>
              </w:rPr>
            </w:pPr>
            <w:r>
              <w:rPr>
                <w:rFonts w:hint="eastAsia"/>
                <w:spacing w:val="-2"/>
                <w:sz w:val="20"/>
                <w:szCs w:val="20"/>
              </w:rPr>
              <w:t>规模控制率</w:t>
            </w:r>
          </w:p>
        </w:tc>
        <w:tc>
          <w:tcPr>
            <w:tcW w:w="823"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jc w:val="center"/>
              <w:rPr>
                <w:spacing w:val="-2"/>
                <w:sz w:val="20"/>
                <w:szCs w:val="20"/>
              </w:rPr>
            </w:pPr>
            <w:r>
              <w:rPr>
                <w:rFonts w:hint="eastAsia"/>
                <w:spacing w:val="-2"/>
                <w:sz w:val="20"/>
                <w:szCs w:val="20"/>
              </w:rPr>
              <w:t>预算投资</w:t>
            </w:r>
          </w:p>
          <w:p w:rsidR="00441154" w:rsidRDefault="00441154" w:rsidP="005A1087">
            <w:pPr>
              <w:spacing w:before="119"/>
              <w:jc w:val="center"/>
              <w:rPr>
                <w:spacing w:val="-2"/>
                <w:sz w:val="20"/>
                <w:szCs w:val="20"/>
              </w:rPr>
            </w:pPr>
            <w:r>
              <w:rPr>
                <w:rFonts w:hint="eastAsia"/>
                <w:spacing w:val="-2"/>
                <w:sz w:val="20"/>
                <w:szCs w:val="20"/>
              </w:rPr>
              <w:t>(万元)</w:t>
            </w:r>
          </w:p>
        </w:tc>
        <w:tc>
          <w:tcPr>
            <w:tcW w:w="1472"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jc w:val="center"/>
              <w:rPr>
                <w:spacing w:val="-2"/>
                <w:sz w:val="20"/>
                <w:szCs w:val="20"/>
              </w:rPr>
            </w:pPr>
            <w:r>
              <w:rPr>
                <w:rFonts w:hint="eastAsia"/>
                <w:spacing w:val="-2"/>
                <w:sz w:val="20"/>
                <w:szCs w:val="20"/>
              </w:rPr>
              <w:t>实际投资(万元)</w:t>
            </w:r>
          </w:p>
        </w:tc>
        <w:tc>
          <w:tcPr>
            <w:tcW w:w="130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jc w:val="center"/>
              <w:rPr>
                <w:spacing w:val="-2"/>
                <w:sz w:val="20"/>
                <w:szCs w:val="20"/>
              </w:rPr>
            </w:pPr>
            <w:r>
              <w:rPr>
                <w:rFonts w:hint="eastAsia"/>
                <w:spacing w:val="-2"/>
                <w:sz w:val="20"/>
                <w:szCs w:val="20"/>
              </w:rPr>
              <w:t>投资概算控制率</w:t>
            </w:r>
          </w:p>
        </w:tc>
      </w:tr>
      <w:tr w:rsidR="00441154" w:rsidTr="005A1087">
        <w:trPr>
          <w:trHeight w:val="350"/>
          <w:jc w:val="center"/>
        </w:trPr>
        <w:tc>
          <w:tcPr>
            <w:tcW w:w="2974"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1547"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ind w:left="413"/>
              <w:jc w:val="center"/>
              <w:rPr>
                <w:spacing w:val="-2"/>
                <w:sz w:val="20"/>
                <w:szCs w:val="20"/>
              </w:rPr>
            </w:pPr>
          </w:p>
        </w:tc>
        <w:tc>
          <w:tcPr>
            <w:tcW w:w="779"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ind w:left="413"/>
              <w:jc w:val="center"/>
              <w:rPr>
                <w:spacing w:val="-2"/>
                <w:sz w:val="20"/>
                <w:szCs w:val="20"/>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ind w:left="413"/>
              <w:jc w:val="center"/>
              <w:rPr>
                <w:spacing w:val="-2"/>
                <w:sz w:val="20"/>
                <w:szCs w:val="20"/>
              </w:rPr>
            </w:pPr>
          </w:p>
        </w:tc>
        <w:tc>
          <w:tcPr>
            <w:tcW w:w="823"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ind w:left="413"/>
              <w:jc w:val="center"/>
              <w:rPr>
                <w:spacing w:val="-2"/>
                <w:sz w:val="20"/>
                <w:szCs w:val="20"/>
              </w:rPr>
            </w:pPr>
          </w:p>
        </w:tc>
        <w:tc>
          <w:tcPr>
            <w:tcW w:w="1472"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ind w:left="413"/>
              <w:jc w:val="center"/>
              <w:rPr>
                <w:spacing w:val="-2"/>
                <w:sz w:val="20"/>
                <w:szCs w:val="20"/>
              </w:rPr>
            </w:pPr>
          </w:p>
        </w:tc>
        <w:tc>
          <w:tcPr>
            <w:tcW w:w="130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19"/>
              <w:ind w:left="413"/>
              <w:jc w:val="center"/>
              <w:rPr>
                <w:spacing w:val="-2"/>
                <w:sz w:val="20"/>
                <w:szCs w:val="20"/>
              </w:rPr>
            </w:pPr>
          </w:p>
        </w:tc>
      </w:tr>
      <w:tr w:rsidR="00441154" w:rsidTr="005A1087">
        <w:trPr>
          <w:trHeight w:val="364"/>
          <w:jc w:val="center"/>
        </w:trPr>
        <w:tc>
          <w:tcPr>
            <w:tcW w:w="2974" w:type="dxa"/>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47"/>
              <w:jc w:val="center"/>
              <w:rPr>
                <w:sz w:val="20"/>
                <w:szCs w:val="20"/>
              </w:rPr>
            </w:pPr>
            <w:r>
              <w:rPr>
                <w:rFonts w:hint="eastAsia"/>
                <w:spacing w:val="1"/>
                <w:sz w:val="20"/>
                <w:szCs w:val="20"/>
              </w:rPr>
              <w:t>厉行节约保障措施</w:t>
            </w:r>
          </w:p>
        </w:tc>
        <w:tc>
          <w:tcPr>
            <w:tcW w:w="7271" w:type="dxa"/>
            <w:gridSpan w:val="6"/>
            <w:tcBorders>
              <w:top w:val="single" w:sz="4" w:space="0" w:color="000000"/>
              <w:left w:val="single" w:sz="4" w:space="0" w:color="000000"/>
              <w:bottom w:val="single" w:sz="4" w:space="0" w:color="000000"/>
              <w:right w:val="single" w:sz="4" w:space="0" w:color="000000"/>
            </w:tcBorders>
          </w:tcPr>
          <w:p w:rsidR="00441154" w:rsidRDefault="00441154" w:rsidP="005A1087">
            <w:pPr>
              <w:spacing w:before="119"/>
              <w:jc w:val="center"/>
              <w:rPr>
                <w:spacing w:val="-2"/>
                <w:sz w:val="20"/>
                <w:szCs w:val="20"/>
              </w:rPr>
            </w:pPr>
            <w:r>
              <w:rPr>
                <w:rFonts w:hint="eastAsia"/>
                <w:spacing w:val="-2"/>
                <w:sz w:val="20"/>
                <w:szCs w:val="20"/>
              </w:rPr>
              <w:t>严格按照年初部门预算执行，严控专项资金、项目资金支出，对各项资金实行监督。按照中央、省委、省政府要求，厉行节约，严控“三公“。</w:t>
            </w:r>
          </w:p>
        </w:tc>
      </w:tr>
    </w:tbl>
    <w:p w:rsidR="00441154" w:rsidRDefault="00441154" w:rsidP="00441154">
      <w:pPr>
        <w:spacing w:before="132" w:line="410" w:lineRule="exact"/>
        <w:ind w:left="454"/>
        <w:jc w:val="center"/>
        <w:rPr>
          <w:rFonts w:ascii="仿宋" w:eastAsia="仿宋" w:hAnsi="仿宋"/>
          <w:sz w:val="23"/>
          <w:szCs w:val="23"/>
        </w:rPr>
      </w:pPr>
      <w:r>
        <w:rPr>
          <w:rFonts w:ascii="仿宋" w:eastAsia="仿宋" w:hAnsi="仿宋" w:hint="eastAsia"/>
          <w:spacing w:val="-21"/>
          <w:position w:val="13"/>
          <w:sz w:val="23"/>
          <w:szCs w:val="23"/>
        </w:rPr>
        <w:t>说明：“项目支出”需要填报基本支出以外的所有项目支出情况，</w:t>
      </w:r>
      <w:r>
        <w:rPr>
          <w:rFonts w:ascii="仿宋" w:eastAsia="仿宋" w:hAnsi="仿宋" w:hint="eastAsia"/>
          <w:spacing w:val="-22"/>
          <w:position w:val="13"/>
          <w:sz w:val="23"/>
          <w:szCs w:val="23"/>
        </w:rPr>
        <w:t>“公用经费”填报基本支出中的一般商品和服务支出。</w:t>
      </w:r>
    </w:p>
    <w:p w:rsidR="00441154" w:rsidRDefault="00441154" w:rsidP="00441154">
      <w:pPr>
        <w:spacing w:line="273" w:lineRule="auto"/>
        <w:rPr>
          <w:rFonts w:hint="eastAsia"/>
        </w:rPr>
      </w:pPr>
    </w:p>
    <w:p w:rsidR="00005FFB" w:rsidRDefault="00005FFB" w:rsidP="00441154">
      <w:pPr>
        <w:spacing w:line="273" w:lineRule="auto"/>
        <w:rPr>
          <w:rFonts w:hint="eastAsia"/>
        </w:rPr>
      </w:pPr>
    </w:p>
    <w:p w:rsidR="00005FFB" w:rsidRDefault="00005FFB" w:rsidP="00441154">
      <w:pPr>
        <w:spacing w:line="273" w:lineRule="auto"/>
        <w:rPr>
          <w:rFonts w:hint="eastAsia"/>
        </w:rPr>
      </w:pPr>
    </w:p>
    <w:p w:rsidR="00005FFB" w:rsidRPr="00005FFB" w:rsidRDefault="00005FFB" w:rsidP="00441154">
      <w:pPr>
        <w:spacing w:line="273" w:lineRule="auto"/>
      </w:pPr>
    </w:p>
    <w:p w:rsidR="00441154" w:rsidRDefault="00441154" w:rsidP="00441154">
      <w:pPr>
        <w:spacing w:before="60"/>
        <w:jc w:val="center"/>
        <w:rPr>
          <w:sz w:val="35"/>
          <w:szCs w:val="35"/>
        </w:rPr>
      </w:pPr>
      <w:r>
        <w:rPr>
          <w:rFonts w:hint="eastAsia"/>
          <w:b/>
          <w:bCs/>
          <w:spacing w:val="12"/>
          <w:sz w:val="35"/>
          <w:szCs w:val="35"/>
        </w:rPr>
        <w:t>2022年度部门整体支出绩效自评表</w:t>
      </w:r>
    </w:p>
    <w:p w:rsidR="00441154" w:rsidRDefault="00441154" w:rsidP="00441154">
      <w:pPr>
        <w:spacing w:line="170" w:lineRule="exact"/>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9"/>
        <w:gridCol w:w="853"/>
        <w:gridCol w:w="900"/>
        <w:gridCol w:w="1589"/>
        <w:gridCol w:w="765"/>
        <w:gridCol w:w="1335"/>
        <w:gridCol w:w="1321"/>
        <w:gridCol w:w="630"/>
        <w:gridCol w:w="931"/>
        <w:gridCol w:w="1344"/>
      </w:tblGrid>
      <w:tr w:rsidR="00441154" w:rsidTr="005A1087">
        <w:trPr>
          <w:trHeight w:val="484"/>
          <w:jc w:val="center"/>
        </w:trPr>
        <w:tc>
          <w:tcPr>
            <w:tcW w:w="1139"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33"/>
              <w:ind w:left="104" w:right="158"/>
              <w:jc w:val="center"/>
              <w:rPr>
                <w:spacing w:val="2"/>
                <w:sz w:val="20"/>
                <w:szCs w:val="20"/>
              </w:rPr>
            </w:pPr>
            <w:r>
              <w:rPr>
                <w:rFonts w:hint="eastAsia"/>
                <w:spacing w:val="2"/>
                <w:sz w:val="20"/>
                <w:szCs w:val="20"/>
              </w:rPr>
              <w:t>省级预算</w:t>
            </w:r>
          </w:p>
          <w:p w:rsidR="00441154" w:rsidRDefault="00441154" w:rsidP="005A1087">
            <w:pPr>
              <w:spacing w:before="33"/>
              <w:ind w:left="104" w:right="158"/>
              <w:jc w:val="center"/>
              <w:rPr>
                <w:sz w:val="20"/>
                <w:szCs w:val="20"/>
              </w:rPr>
            </w:pPr>
            <w:r>
              <w:rPr>
                <w:rFonts w:hint="eastAsia"/>
                <w:spacing w:val="2"/>
                <w:sz w:val="20"/>
                <w:szCs w:val="20"/>
              </w:rPr>
              <w:t>部门名称</w:t>
            </w:r>
          </w:p>
        </w:tc>
        <w:tc>
          <w:tcPr>
            <w:tcW w:w="9668" w:type="dxa"/>
            <w:gridSpan w:val="9"/>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r>
              <w:rPr>
                <w:rFonts w:hint="eastAsia"/>
              </w:rPr>
              <w:t>邵阳职业技术学院</w:t>
            </w:r>
          </w:p>
        </w:tc>
      </w:tr>
      <w:tr w:rsidR="00441154" w:rsidTr="005A1087">
        <w:trPr>
          <w:trHeight w:val="240"/>
          <w:jc w:val="center"/>
        </w:trPr>
        <w:tc>
          <w:tcPr>
            <w:tcW w:w="1139" w:type="dxa"/>
            <w:vMerge w:val="restart"/>
            <w:tcBorders>
              <w:top w:val="nil"/>
              <w:left w:val="single" w:sz="4" w:space="0" w:color="000000"/>
              <w:bottom w:val="nil"/>
              <w:right w:val="single" w:sz="4" w:space="0" w:color="000000"/>
            </w:tcBorders>
            <w:vAlign w:val="center"/>
          </w:tcPr>
          <w:p w:rsidR="00441154" w:rsidRDefault="00441154" w:rsidP="005A1087">
            <w:pPr>
              <w:spacing w:before="65"/>
              <w:jc w:val="center"/>
              <w:rPr>
                <w:sz w:val="20"/>
                <w:szCs w:val="20"/>
              </w:rPr>
            </w:pPr>
            <w:r>
              <w:rPr>
                <w:rFonts w:hint="eastAsia"/>
                <w:spacing w:val="-2"/>
                <w:sz w:val="20"/>
                <w:szCs w:val="20"/>
              </w:rPr>
              <w:t>年度预</w:t>
            </w:r>
          </w:p>
          <w:p w:rsidR="00441154" w:rsidRDefault="00441154" w:rsidP="005A1087">
            <w:pPr>
              <w:spacing w:before="42"/>
              <w:jc w:val="center"/>
              <w:rPr>
                <w:sz w:val="20"/>
                <w:szCs w:val="20"/>
              </w:rPr>
            </w:pPr>
            <w:r>
              <w:rPr>
                <w:rFonts w:hint="eastAsia"/>
                <w:spacing w:val="-3"/>
                <w:sz w:val="20"/>
                <w:szCs w:val="20"/>
              </w:rPr>
              <w:t>算申请</w:t>
            </w:r>
          </w:p>
          <w:p w:rsidR="00441154" w:rsidRDefault="00441154" w:rsidP="005A1087">
            <w:pPr>
              <w:jc w:val="center"/>
              <w:rPr>
                <w:sz w:val="20"/>
                <w:szCs w:val="20"/>
              </w:rPr>
            </w:pPr>
            <w:r>
              <w:rPr>
                <w:rFonts w:hint="eastAsia"/>
                <w:spacing w:val="10"/>
                <w:sz w:val="20"/>
                <w:szCs w:val="20"/>
              </w:rPr>
              <w:t>(万元)</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8"/>
              <w:ind w:left="122"/>
              <w:jc w:val="center"/>
              <w:rPr>
                <w:sz w:val="20"/>
                <w:szCs w:val="20"/>
              </w:rPr>
            </w:pPr>
            <w:r>
              <w:rPr>
                <w:rFonts w:hint="eastAsia"/>
                <w:spacing w:val="-2"/>
                <w:sz w:val="20"/>
                <w:szCs w:val="20"/>
              </w:rPr>
              <w:t>年初预算数</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8"/>
              <w:ind w:left="103"/>
              <w:jc w:val="center"/>
              <w:rPr>
                <w:sz w:val="20"/>
                <w:szCs w:val="20"/>
              </w:rPr>
            </w:pPr>
            <w:r>
              <w:rPr>
                <w:rFonts w:hint="eastAsia"/>
                <w:spacing w:val="-2"/>
                <w:sz w:val="20"/>
                <w:szCs w:val="20"/>
              </w:rPr>
              <w:t>全年预算数</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8"/>
              <w:ind w:left="125"/>
              <w:jc w:val="center"/>
              <w:rPr>
                <w:sz w:val="20"/>
                <w:szCs w:val="20"/>
              </w:rPr>
            </w:pPr>
            <w:r>
              <w:rPr>
                <w:rFonts w:hint="eastAsia"/>
                <w:spacing w:val="-2"/>
                <w:sz w:val="20"/>
                <w:szCs w:val="20"/>
              </w:rPr>
              <w:t>全年执行数</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8"/>
              <w:ind w:left="155"/>
              <w:jc w:val="center"/>
              <w:rPr>
                <w:sz w:val="20"/>
                <w:szCs w:val="20"/>
              </w:rPr>
            </w:pPr>
            <w:r>
              <w:rPr>
                <w:rFonts w:hint="eastAsia"/>
                <w:spacing w:val="-3"/>
                <w:sz w:val="20"/>
                <w:szCs w:val="20"/>
              </w:rPr>
              <w:t>分值</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8"/>
              <w:ind w:left="126"/>
              <w:jc w:val="center"/>
              <w:rPr>
                <w:sz w:val="20"/>
                <w:szCs w:val="20"/>
              </w:rPr>
            </w:pPr>
            <w:r>
              <w:rPr>
                <w:rFonts w:hint="eastAsia"/>
                <w:spacing w:val="-2"/>
                <w:sz w:val="20"/>
                <w:szCs w:val="20"/>
              </w:rPr>
              <w:t>执行率</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8"/>
              <w:ind w:left="507"/>
              <w:jc w:val="both"/>
              <w:rPr>
                <w:sz w:val="20"/>
                <w:szCs w:val="20"/>
              </w:rPr>
            </w:pPr>
            <w:r>
              <w:rPr>
                <w:rFonts w:hint="eastAsia"/>
                <w:spacing w:val="-3"/>
                <w:sz w:val="20"/>
                <w:szCs w:val="20"/>
              </w:rPr>
              <w:t>得分</w:t>
            </w:r>
          </w:p>
        </w:tc>
      </w:tr>
      <w:tr w:rsidR="00441154" w:rsidTr="005A1087">
        <w:trPr>
          <w:trHeight w:val="239"/>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9"/>
              <w:jc w:val="center"/>
              <w:rPr>
                <w:sz w:val="20"/>
                <w:szCs w:val="20"/>
              </w:rPr>
            </w:pPr>
            <w:r>
              <w:rPr>
                <w:rFonts w:hint="eastAsia"/>
                <w:spacing w:val="-2"/>
                <w:sz w:val="20"/>
                <w:szCs w:val="20"/>
              </w:rPr>
              <w:t>年度资金总额</w:t>
            </w:r>
          </w:p>
        </w:tc>
        <w:tc>
          <w:tcPr>
            <w:tcW w:w="1589"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r>
              <w:rPr>
                <w:rFonts w:hint="eastAsia"/>
                <w:sz w:val="20"/>
                <w:szCs w:val="20"/>
              </w:rPr>
              <w:t>12050.48</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r>
              <w:rPr>
                <w:rFonts w:hint="eastAsia"/>
                <w:sz w:val="20"/>
                <w:szCs w:val="20"/>
              </w:rPr>
              <w:t>19990.03</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r>
              <w:rPr>
                <w:rFonts w:hint="eastAsia"/>
                <w:sz w:val="20"/>
                <w:szCs w:val="20"/>
              </w:rPr>
              <w:t>19990.03</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90" w:line="149" w:lineRule="exact"/>
              <w:ind w:left="255"/>
              <w:jc w:val="center"/>
              <w:rPr>
                <w:sz w:val="20"/>
                <w:szCs w:val="20"/>
              </w:rPr>
            </w:pPr>
            <w:r>
              <w:rPr>
                <w:rFonts w:hint="eastAsia"/>
                <w:spacing w:val="-6"/>
                <w:position w:val="-3"/>
                <w:sz w:val="20"/>
                <w:szCs w:val="20"/>
              </w:rPr>
              <w:t>10</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r>
              <w:rPr>
                <w:rFonts w:hint="eastAsia"/>
                <w:sz w:val="20"/>
                <w:szCs w:val="20"/>
              </w:rPr>
              <w:t>165%</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r>
              <w:rPr>
                <w:rFonts w:hint="eastAsia"/>
                <w:sz w:val="20"/>
                <w:szCs w:val="20"/>
              </w:rPr>
              <w:t>10</w:t>
            </w:r>
          </w:p>
        </w:tc>
      </w:tr>
      <w:tr w:rsidR="00441154" w:rsidTr="005A1087">
        <w:trPr>
          <w:trHeight w:val="23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5442" w:type="dxa"/>
            <w:gridSpan w:val="5"/>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9"/>
              <w:ind w:left="260"/>
              <w:rPr>
                <w:sz w:val="20"/>
                <w:szCs w:val="20"/>
              </w:rPr>
            </w:pPr>
            <w:r>
              <w:rPr>
                <w:rFonts w:hint="eastAsia"/>
                <w:spacing w:val="14"/>
                <w:sz w:val="20"/>
                <w:szCs w:val="20"/>
              </w:rPr>
              <w:t>按收入性质分：</w:t>
            </w:r>
          </w:p>
        </w:tc>
        <w:tc>
          <w:tcPr>
            <w:tcW w:w="4226" w:type="dxa"/>
            <w:gridSpan w:val="4"/>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9"/>
              <w:ind w:left="105"/>
              <w:jc w:val="center"/>
              <w:rPr>
                <w:sz w:val="20"/>
                <w:szCs w:val="20"/>
              </w:rPr>
            </w:pPr>
            <w:r>
              <w:rPr>
                <w:rFonts w:hint="eastAsia"/>
                <w:spacing w:val="14"/>
                <w:sz w:val="20"/>
                <w:szCs w:val="20"/>
              </w:rPr>
              <w:t>按支出性质分：</w:t>
            </w:r>
          </w:p>
        </w:tc>
      </w:tr>
      <w:tr w:rsidR="00441154" w:rsidTr="005A1087">
        <w:trPr>
          <w:trHeight w:val="273"/>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5442" w:type="dxa"/>
            <w:gridSpan w:val="5"/>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9"/>
              <w:ind w:left="260"/>
              <w:rPr>
                <w:sz w:val="20"/>
                <w:szCs w:val="20"/>
              </w:rPr>
            </w:pPr>
            <w:r>
              <w:rPr>
                <w:rFonts w:hint="eastAsia"/>
                <w:spacing w:val="-6"/>
                <w:sz w:val="20"/>
                <w:szCs w:val="20"/>
              </w:rPr>
              <w:t>其中：一般公共预算：15214.55</w:t>
            </w:r>
          </w:p>
        </w:tc>
        <w:tc>
          <w:tcPr>
            <w:tcW w:w="4226" w:type="dxa"/>
            <w:gridSpan w:val="4"/>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9"/>
              <w:ind w:left="105"/>
              <w:jc w:val="center"/>
              <w:rPr>
                <w:sz w:val="20"/>
                <w:szCs w:val="20"/>
              </w:rPr>
            </w:pPr>
            <w:r>
              <w:rPr>
                <w:rFonts w:hint="eastAsia"/>
                <w:spacing w:val="12"/>
                <w:sz w:val="20"/>
                <w:szCs w:val="20"/>
              </w:rPr>
              <w:t>其中：基本支出：14443.94</w:t>
            </w:r>
          </w:p>
        </w:tc>
      </w:tr>
      <w:tr w:rsidR="00441154" w:rsidTr="005A1087">
        <w:trPr>
          <w:trHeight w:val="25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5442" w:type="dxa"/>
            <w:gridSpan w:val="5"/>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28"/>
              <w:ind w:left="900"/>
              <w:rPr>
                <w:sz w:val="20"/>
                <w:szCs w:val="20"/>
              </w:rPr>
            </w:pPr>
            <w:r>
              <w:rPr>
                <w:rFonts w:hint="eastAsia"/>
                <w:spacing w:val="12"/>
                <w:sz w:val="20"/>
                <w:szCs w:val="20"/>
              </w:rPr>
              <w:t>政府性基金拨款：0</w:t>
            </w:r>
          </w:p>
        </w:tc>
        <w:tc>
          <w:tcPr>
            <w:tcW w:w="4226" w:type="dxa"/>
            <w:gridSpan w:val="4"/>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31"/>
              <w:ind w:left="695"/>
              <w:jc w:val="center"/>
              <w:rPr>
                <w:sz w:val="20"/>
                <w:szCs w:val="20"/>
              </w:rPr>
            </w:pPr>
            <w:r>
              <w:rPr>
                <w:rFonts w:hint="eastAsia"/>
                <w:spacing w:val="19"/>
                <w:sz w:val="20"/>
                <w:szCs w:val="20"/>
              </w:rPr>
              <w:t>项目支出：5546.09</w:t>
            </w:r>
          </w:p>
        </w:tc>
      </w:tr>
      <w:tr w:rsidR="00441154" w:rsidTr="005A1087">
        <w:trPr>
          <w:trHeight w:val="239"/>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5442" w:type="dxa"/>
            <w:gridSpan w:val="5"/>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20"/>
              <w:ind w:left="260"/>
              <w:rPr>
                <w:sz w:val="20"/>
                <w:szCs w:val="20"/>
              </w:rPr>
            </w:pPr>
            <w:r>
              <w:rPr>
                <w:rFonts w:hint="eastAsia"/>
                <w:spacing w:val="7"/>
                <w:sz w:val="20"/>
                <w:szCs w:val="20"/>
              </w:rPr>
              <w:t>纳入专户管理的非税收入拨款：4721.2</w:t>
            </w:r>
          </w:p>
        </w:tc>
        <w:tc>
          <w:tcPr>
            <w:tcW w:w="4226" w:type="dxa"/>
            <w:gridSpan w:val="4"/>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p>
        </w:tc>
      </w:tr>
      <w:tr w:rsidR="00441154" w:rsidTr="005A1087">
        <w:trPr>
          <w:trHeight w:val="24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5442" w:type="dxa"/>
            <w:gridSpan w:val="5"/>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41"/>
              <w:ind w:left="1510"/>
              <w:rPr>
                <w:sz w:val="19"/>
                <w:szCs w:val="19"/>
              </w:rPr>
            </w:pPr>
            <w:r>
              <w:rPr>
                <w:rFonts w:hint="eastAsia"/>
                <w:spacing w:val="7"/>
                <w:sz w:val="20"/>
                <w:szCs w:val="20"/>
              </w:rPr>
              <w:t>其他资金：</w:t>
            </w:r>
            <w:r>
              <w:rPr>
                <w:rFonts w:hint="eastAsia"/>
                <w:spacing w:val="29"/>
                <w:sz w:val="19"/>
                <w:szCs w:val="19"/>
              </w:rPr>
              <w:t>54.27</w:t>
            </w:r>
          </w:p>
        </w:tc>
        <w:tc>
          <w:tcPr>
            <w:tcW w:w="4226" w:type="dxa"/>
            <w:gridSpan w:val="4"/>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r>
      <w:tr w:rsidR="00441154" w:rsidTr="005A1087">
        <w:trPr>
          <w:trHeight w:val="239"/>
          <w:jc w:val="center"/>
        </w:trPr>
        <w:tc>
          <w:tcPr>
            <w:tcW w:w="1139" w:type="dxa"/>
            <w:vMerge w:val="restart"/>
            <w:tcBorders>
              <w:top w:val="nil"/>
              <w:left w:val="single" w:sz="4" w:space="0" w:color="000000"/>
              <w:bottom w:val="nil"/>
              <w:right w:val="single" w:sz="4" w:space="0" w:color="000000"/>
            </w:tcBorders>
            <w:vAlign w:val="center"/>
          </w:tcPr>
          <w:p w:rsidR="00441154" w:rsidRDefault="00441154" w:rsidP="005A1087">
            <w:pPr>
              <w:spacing w:before="31"/>
              <w:ind w:left="344" w:right="177" w:hanging="240"/>
              <w:jc w:val="center"/>
              <w:rPr>
                <w:sz w:val="20"/>
                <w:szCs w:val="20"/>
              </w:rPr>
            </w:pPr>
            <w:r>
              <w:rPr>
                <w:rFonts w:hint="eastAsia"/>
                <w:spacing w:val="-3"/>
                <w:sz w:val="20"/>
                <w:szCs w:val="20"/>
              </w:rPr>
              <w:t>年度总体</w:t>
            </w:r>
            <w:r>
              <w:rPr>
                <w:rFonts w:hint="eastAsia"/>
                <w:spacing w:val="8"/>
                <w:sz w:val="20"/>
                <w:szCs w:val="20"/>
              </w:rPr>
              <w:t>目标</w:t>
            </w:r>
          </w:p>
        </w:tc>
        <w:tc>
          <w:tcPr>
            <w:tcW w:w="5442" w:type="dxa"/>
            <w:gridSpan w:val="5"/>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21"/>
              <w:jc w:val="center"/>
              <w:rPr>
                <w:sz w:val="20"/>
                <w:szCs w:val="20"/>
              </w:rPr>
            </w:pPr>
            <w:r>
              <w:rPr>
                <w:rFonts w:hint="eastAsia"/>
                <w:spacing w:val="-2"/>
                <w:sz w:val="20"/>
                <w:szCs w:val="20"/>
              </w:rPr>
              <w:t>预期目标</w:t>
            </w:r>
          </w:p>
        </w:tc>
        <w:tc>
          <w:tcPr>
            <w:tcW w:w="4226" w:type="dxa"/>
            <w:gridSpan w:val="4"/>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21"/>
              <w:ind w:left="1554"/>
              <w:jc w:val="both"/>
              <w:rPr>
                <w:sz w:val="20"/>
                <w:szCs w:val="20"/>
              </w:rPr>
            </w:pPr>
            <w:r>
              <w:rPr>
                <w:rFonts w:hint="eastAsia"/>
                <w:spacing w:val="1"/>
                <w:sz w:val="20"/>
                <w:szCs w:val="20"/>
              </w:rPr>
              <w:t>实际完成情况</w:t>
            </w:r>
          </w:p>
        </w:tc>
      </w:tr>
      <w:tr w:rsidR="00441154" w:rsidTr="005A1087">
        <w:trPr>
          <w:trHeight w:val="43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5442" w:type="dxa"/>
            <w:gridSpan w:val="5"/>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rPr>
                <w:sz w:val="20"/>
                <w:szCs w:val="20"/>
              </w:rPr>
            </w:pPr>
            <w:r>
              <w:rPr>
                <w:rFonts w:hint="eastAsia"/>
                <w:sz w:val="20"/>
                <w:szCs w:val="20"/>
              </w:rPr>
              <w:t>1、保障教职工工资和基本福利。2、中高职生培养。3、优化资本结构。</w:t>
            </w:r>
          </w:p>
        </w:tc>
        <w:tc>
          <w:tcPr>
            <w:tcW w:w="4226" w:type="dxa"/>
            <w:gridSpan w:val="4"/>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rPr>
                <w:sz w:val="20"/>
                <w:szCs w:val="20"/>
              </w:rPr>
            </w:pPr>
            <w:r>
              <w:rPr>
                <w:rFonts w:hint="eastAsia"/>
                <w:sz w:val="20"/>
                <w:szCs w:val="20"/>
              </w:rPr>
              <w:t>1、按时支付教职工工资和福利。２、完成中高职生培养。３、合理使用资本性支出。</w:t>
            </w:r>
          </w:p>
        </w:tc>
      </w:tr>
      <w:tr w:rsidR="00441154" w:rsidTr="005A1087">
        <w:trPr>
          <w:trHeight w:val="647"/>
          <w:jc w:val="center"/>
        </w:trPr>
        <w:tc>
          <w:tcPr>
            <w:tcW w:w="1139" w:type="dxa"/>
            <w:vMerge w:val="restart"/>
            <w:tcBorders>
              <w:top w:val="nil"/>
              <w:left w:val="single" w:sz="4" w:space="0" w:color="000000"/>
              <w:bottom w:val="nil"/>
              <w:right w:val="single" w:sz="4" w:space="0" w:color="000000"/>
            </w:tcBorders>
            <w:vAlign w:val="center"/>
          </w:tcPr>
          <w:p w:rsidR="00441154" w:rsidRDefault="00441154" w:rsidP="005A1087">
            <w:pPr>
              <w:spacing w:before="67"/>
              <w:ind w:left="3324"/>
              <w:jc w:val="center"/>
              <w:rPr>
                <w:sz w:val="20"/>
                <w:szCs w:val="20"/>
              </w:rP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jc w:val="center"/>
            </w:pPr>
          </w:p>
          <w:p w:rsidR="00441154" w:rsidRDefault="00441154" w:rsidP="005A1087">
            <w:pPr>
              <w:tabs>
                <w:tab w:val="left" w:pos="2426"/>
              </w:tabs>
              <w:jc w:val="center"/>
            </w:pPr>
            <w:r>
              <w:rPr>
                <w:rFonts w:hint="eastAsia"/>
              </w:rPr>
              <w:t>绩效指标</w:t>
            </w:r>
          </w:p>
        </w:tc>
        <w:tc>
          <w:tcPr>
            <w:tcW w:w="853"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42"/>
              <w:jc w:val="center"/>
              <w:rPr>
                <w:spacing w:val="-2"/>
                <w:sz w:val="20"/>
                <w:szCs w:val="20"/>
              </w:rPr>
            </w:pPr>
            <w:r>
              <w:rPr>
                <w:rFonts w:hint="eastAsia"/>
                <w:spacing w:val="-2"/>
                <w:sz w:val="20"/>
                <w:szCs w:val="20"/>
              </w:rPr>
              <w:lastRenderedPageBreak/>
              <w:t>一级指标</w:t>
            </w:r>
          </w:p>
        </w:tc>
        <w:tc>
          <w:tcPr>
            <w:tcW w:w="90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42"/>
              <w:ind w:left="222"/>
              <w:jc w:val="center"/>
              <w:rPr>
                <w:spacing w:val="-2"/>
                <w:sz w:val="20"/>
                <w:szCs w:val="20"/>
              </w:rPr>
            </w:pPr>
            <w:r>
              <w:rPr>
                <w:rFonts w:hint="eastAsia"/>
                <w:spacing w:val="-2"/>
                <w:sz w:val="20"/>
                <w:szCs w:val="20"/>
              </w:rPr>
              <w:t>二级指标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42"/>
              <w:ind w:left="222"/>
              <w:jc w:val="center"/>
              <w:rPr>
                <w:sz w:val="20"/>
                <w:szCs w:val="20"/>
              </w:rPr>
            </w:pPr>
            <w:r>
              <w:rPr>
                <w:rFonts w:hint="eastAsia"/>
                <w:spacing w:val="-2"/>
                <w:sz w:val="20"/>
                <w:szCs w:val="20"/>
              </w:rPr>
              <w:t>三级指标</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42"/>
              <w:ind w:left="103"/>
              <w:jc w:val="center"/>
              <w:rPr>
                <w:sz w:val="20"/>
                <w:szCs w:val="20"/>
              </w:rPr>
            </w:pPr>
            <w:r>
              <w:rPr>
                <w:rFonts w:hint="eastAsia"/>
                <w:spacing w:val="-2"/>
                <w:sz w:val="20"/>
                <w:szCs w:val="20"/>
              </w:rPr>
              <w:t>年度指标值</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42"/>
              <w:ind w:left="125"/>
              <w:jc w:val="center"/>
              <w:rPr>
                <w:sz w:val="20"/>
                <w:szCs w:val="20"/>
              </w:rPr>
            </w:pPr>
            <w:r>
              <w:rPr>
                <w:rFonts w:hint="eastAsia"/>
                <w:spacing w:val="1"/>
                <w:sz w:val="20"/>
                <w:szCs w:val="20"/>
              </w:rPr>
              <w:t>实际完成值</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42"/>
              <w:ind w:left="155"/>
              <w:jc w:val="center"/>
              <w:rPr>
                <w:sz w:val="20"/>
                <w:szCs w:val="20"/>
              </w:rPr>
            </w:pPr>
            <w:r>
              <w:rPr>
                <w:rFonts w:hint="eastAsia"/>
                <w:spacing w:val="-3"/>
                <w:sz w:val="20"/>
                <w:szCs w:val="20"/>
              </w:rPr>
              <w:t>分值</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42"/>
              <w:ind w:left="227"/>
              <w:jc w:val="center"/>
              <w:rPr>
                <w:sz w:val="20"/>
                <w:szCs w:val="20"/>
              </w:rPr>
            </w:pPr>
            <w:r>
              <w:rPr>
                <w:rFonts w:hint="eastAsia"/>
                <w:spacing w:val="-3"/>
                <w:sz w:val="20"/>
                <w:szCs w:val="20"/>
              </w:rPr>
              <w:t>得分</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22"/>
              <w:ind w:left="107"/>
              <w:jc w:val="center"/>
              <w:rPr>
                <w:sz w:val="20"/>
                <w:szCs w:val="20"/>
              </w:rPr>
            </w:pPr>
            <w:r>
              <w:rPr>
                <w:rFonts w:hint="eastAsia"/>
                <w:spacing w:val="-2"/>
                <w:sz w:val="20"/>
                <w:szCs w:val="20"/>
              </w:rPr>
              <w:t>偏差原因分析及改进措施</w:t>
            </w:r>
          </w:p>
        </w:tc>
      </w:tr>
      <w:tr w:rsidR="00441154" w:rsidTr="005A1087">
        <w:trPr>
          <w:trHeight w:val="398"/>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val="restart"/>
            <w:tcBorders>
              <w:top w:val="nil"/>
              <w:left w:val="single" w:sz="4" w:space="0" w:color="000000"/>
              <w:bottom w:val="nil"/>
              <w:right w:val="single" w:sz="4" w:space="0" w:color="000000"/>
            </w:tcBorders>
            <w:vAlign w:val="center"/>
          </w:tcPr>
          <w:p w:rsidR="00441154" w:rsidRDefault="00441154" w:rsidP="005A1087">
            <w:pPr>
              <w:spacing w:before="65"/>
              <w:jc w:val="center"/>
              <w:rPr>
                <w:spacing w:val="-2"/>
                <w:sz w:val="20"/>
                <w:szCs w:val="20"/>
              </w:rPr>
            </w:pPr>
            <w:r>
              <w:rPr>
                <w:rFonts w:hint="eastAsia"/>
                <w:spacing w:val="-2"/>
                <w:sz w:val="20"/>
                <w:szCs w:val="20"/>
              </w:rPr>
              <w:t>产出</w:t>
            </w:r>
          </w:p>
          <w:p w:rsidR="00441154" w:rsidRDefault="00441154" w:rsidP="005A1087">
            <w:pPr>
              <w:spacing w:before="65"/>
              <w:jc w:val="center"/>
              <w:rPr>
                <w:sz w:val="20"/>
                <w:szCs w:val="20"/>
              </w:rPr>
            </w:pPr>
            <w:r>
              <w:rPr>
                <w:rFonts w:hint="eastAsia"/>
                <w:spacing w:val="-2"/>
                <w:sz w:val="20"/>
                <w:szCs w:val="20"/>
              </w:rPr>
              <w:t>指标</w:t>
            </w:r>
          </w:p>
          <w:p w:rsidR="00441154" w:rsidRDefault="00441154" w:rsidP="005A1087">
            <w:pPr>
              <w:spacing w:before="243"/>
              <w:jc w:val="center"/>
              <w:rPr>
                <w:sz w:val="20"/>
                <w:szCs w:val="20"/>
              </w:rPr>
            </w:pPr>
            <w:r>
              <w:rPr>
                <w:rFonts w:hint="eastAsia"/>
                <w:spacing w:val="8"/>
                <w:sz w:val="20"/>
                <w:szCs w:val="20"/>
              </w:rPr>
              <w:t>(50分)</w:t>
            </w: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273"/>
              <w:jc w:val="center"/>
              <w:rPr>
                <w:sz w:val="20"/>
                <w:szCs w:val="20"/>
              </w:rPr>
            </w:pPr>
            <w:r>
              <w:rPr>
                <w:rFonts w:hint="eastAsia"/>
                <w:spacing w:val="-2"/>
                <w:sz w:val="20"/>
                <w:szCs w:val="20"/>
              </w:rPr>
              <w:t>数量指标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中高职生培养人数</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11571人</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12249人</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15</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15</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0" w:lineRule="exact"/>
              <w:jc w:val="center"/>
              <w:rPr>
                <w:sz w:val="20"/>
                <w:szCs w:val="20"/>
              </w:rPr>
            </w:pPr>
          </w:p>
        </w:tc>
      </w:tr>
      <w:tr w:rsidR="00441154" w:rsidTr="005A1087">
        <w:trPr>
          <w:trHeight w:val="343"/>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师资培训</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400人</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422人</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5</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5</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238"/>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p>
        </w:tc>
      </w:tr>
      <w:tr w:rsidR="00441154" w:rsidTr="005A1087">
        <w:trPr>
          <w:trHeight w:val="493"/>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274"/>
              <w:jc w:val="center"/>
              <w:rPr>
                <w:sz w:val="20"/>
                <w:szCs w:val="20"/>
              </w:rPr>
            </w:pPr>
            <w:r>
              <w:rPr>
                <w:rFonts w:hint="eastAsia"/>
                <w:spacing w:val="-2"/>
                <w:sz w:val="20"/>
                <w:szCs w:val="20"/>
              </w:rPr>
              <w:t>质量指标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学生投诉率</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r>
      <w:tr w:rsidR="00441154" w:rsidTr="005A1087">
        <w:trPr>
          <w:trHeight w:val="249"/>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教学任务完成率</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100%</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100%</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268"/>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20" w:lineRule="exact"/>
              <w:jc w:val="center"/>
              <w:rPr>
                <w:sz w:val="19"/>
                <w:szCs w:val="19"/>
              </w:rPr>
            </w:pPr>
          </w:p>
        </w:tc>
      </w:tr>
      <w:tr w:rsidR="00441154" w:rsidTr="005A1087">
        <w:trPr>
          <w:trHeight w:val="239"/>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285"/>
              <w:ind w:left="101"/>
              <w:jc w:val="center"/>
              <w:rPr>
                <w:sz w:val="20"/>
                <w:szCs w:val="20"/>
              </w:rPr>
            </w:pPr>
            <w:r>
              <w:rPr>
                <w:rFonts w:hint="eastAsia"/>
                <w:spacing w:val="1"/>
                <w:sz w:val="20"/>
                <w:szCs w:val="20"/>
              </w:rPr>
              <w:t>时效指标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完成时间</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2022年度</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2022年度</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p>
        </w:tc>
      </w:tr>
      <w:tr w:rsidR="00441154" w:rsidTr="005A1087">
        <w:trPr>
          <w:trHeight w:val="298"/>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24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r>
      <w:tr w:rsidR="00441154" w:rsidTr="005A1087">
        <w:trPr>
          <w:trHeight w:val="239"/>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274"/>
              <w:ind w:left="101"/>
              <w:jc w:val="center"/>
              <w:rPr>
                <w:sz w:val="20"/>
                <w:szCs w:val="20"/>
              </w:rPr>
            </w:pPr>
            <w:r>
              <w:rPr>
                <w:rFonts w:hint="eastAsia"/>
                <w:spacing w:val="-2"/>
                <w:sz w:val="20"/>
                <w:szCs w:val="20"/>
              </w:rPr>
              <w:t>成本指标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合理使用资金降低成本</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100%</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100%</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p>
        </w:tc>
      </w:tr>
      <w:tr w:rsidR="00441154" w:rsidTr="005A1087">
        <w:trPr>
          <w:trHeight w:val="283"/>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0" w:lineRule="exact"/>
              <w:jc w:val="center"/>
              <w:rPr>
                <w:sz w:val="20"/>
                <w:szCs w:val="20"/>
              </w:rPr>
            </w:pPr>
          </w:p>
        </w:tc>
      </w:tr>
      <w:tr w:rsidR="00441154" w:rsidTr="005A1087">
        <w:trPr>
          <w:trHeight w:val="24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r>
      <w:tr w:rsidR="00441154" w:rsidTr="005A1087">
        <w:trPr>
          <w:trHeight w:val="24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val="restart"/>
            <w:tcBorders>
              <w:top w:val="nil"/>
              <w:left w:val="single" w:sz="4" w:space="0" w:color="000000"/>
              <w:bottom w:val="nil"/>
              <w:right w:val="single" w:sz="4" w:space="0" w:color="000000"/>
            </w:tcBorders>
            <w:vAlign w:val="center"/>
          </w:tcPr>
          <w:p w:rsidR="00441154" w:rsidRDefault="00441154" w:rsidP="005A1087">
            <w:pPr>
              <w:spacing w:line="252" w:lineRule="auto"/>
              <w:jc w:val="center"/>
            </w:pPr>
          </w:p>
          <w:p w:rsidR="00441154" w:rsidRDefault="00441154" w:rsidP="005A1087">
            <w:pPr>
              <w:spacing w:before="65"/>
              <w:jc w:val="center"/>
              <w:rPr>
                <w:spacing w:val="1"/>
                <w:sz w:val="20"/>
                <w:szCs w:val="20"/>
              </w:rPr>
            </w:pPr>
            <w:r>
              <w:rPr>
                <w:rFonts w:hint="eastAsia"/>
                <w:spacing w:val="1"/>
                <w:sz w:val="20"/>
                <w:szCs w:val="20"/>
              </w:rPr>
              <w:t>效益</w:t>
            </w:r>
          </w:p>
          <w:p w:rsidR="00441154" w:rsidRDefault="00441154" w:rsidP="005A1087">
            <w:pPr>
              <w:spacing w:before="65"/>
              <w:jc w:val="center"/>
              <w:rPr>
                <w:sz w:val="20"/>
                <w:szCs w:val="20"/>
              </w:rPr>
            </w:pPr>
            <w:r>
              <w:rPr>
                <w:rFonts w:hint="eastAsia"/>
                <w:spacing w:val="1"/>
                <w:sz w:val="20"/>
                <w:szCs w:val="20"/>
              </w:rPr>
              <w:t>指标</w:t>
            </w:r>
          </w:p>
          <w:p w:rsidR="00441154" w:rsidRDefault="00441154" w:rsidP="005A1087">
            <w:pPr>
              <w:spacing w:before="251"/>
              <w:jc w:val="center"/>
              <w:rPr>
                <w:sz w:val="20"/>
                <w:szCs w:val="20"/>
              </w:rPr>
            </w:pPr>
            <w:r>
              <w:rPr>
                <w:rFonts w:hint="eastAsia"/>
                <w:spacing w:val="8"/>
                <w:sz w:val="20"/>
                <w:szCs w:val="20"/>
              </w:rPr>
              <w:t>(30分)</w:t>
            </w: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147"/>
              <w:ind w:left="202"/>
              <w:jc w:val="center"/>
              <w:rPr>
                <w:sz w:val="20"/>
                <w:szCs w:val="20"/>
              </w:rPr>
            </w:pPr>
            <w:r>
              <w:rPr>
                <w:rFonts w:hint="eastAsia"/>
                <w:spacing w:val="-3"/>
                <w:sz w:val="20"/>
                <w:szCs w:val="20"/>
              </w:rPr>
              <w:t>经济效</w:t>
            </w:r>
          </w:p>
          <w:p w:rsidR="00441154" w:rsidRDefault="00441154" w:rsidP="005A1087">
            <w:pPr>
              <w:ind w:left="202"/>
              <w:jc w:val="center"/>
              <w:rPr>
                <w:sz w:val="20"/>
                <w:szCs w:val="20"/>
              </w:rPr>
            </w:pPr>
            <w:r>
              <w:rPr>
                <w:rFonts w:hint="eastAsia"/>
                <w:spacing w:val="-3"/>
                <w:sz w:val="20"/>
                <w:szCs w:val="20"/>
              </w:rPr>
              <w:t>益指标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服务社会能力</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90%</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90%</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r>
      <w:tr w:rsidR="00441154" w:rsidTr="005A1087">
        <w:trPr>
          <w:trHeight w:val="25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23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0" w:lineRule="exact"/>
              <w:jc w:val="center"/>
              <w:rPr>
                <w:sz w:val="20"/>
                <w:szCs w:val="20"/>
              </w:rPr>
            </w:pPr>
          </w:p>
        </w:tc>
      </w:tr>
      <w:tr w:rsidR="00441154" w:rsidTr="005A1087">
        <w:trPr>
          <w:trHeight w:val="9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156"/>
              <w:ind w:left="202"/>
              <w:jc w:val="center"/>
              <w:rPr>
                <w:sz w:val="20"/>
                <w:szCs w:val="20"/>
              </w:rPr>
            </w:pPr>
            <w:r>
              <w:rPr>
                <w:rFonts w:hint="eastAsia"/>
                <w:spacing w:val="-3"/>
                <w:sz w:val="20"/>
                <w:szCs w:val="20"/>
              </w:rPr>
              <w:t>社会效</w:t>
            </w:r>
          </w:p>
          <w:p w:rsidR="00441154" w:rsidRDefault="00441154" w:rsidP="005A1087">
            <w:pPr>
              <w:ind w:left="202"/>
              <w:jc w:val="center"/>
              <w:rPr>
                <w:sz w:val="20"/>
                <w:szCs w:val="20"/>
              </w:rPr>
            </w:pPr>
            <w:r>
              <w:rPr>
                <w:rFonts w:hint="eastAsia"/>
                <w:spacing w:val="-3"/>
                <w:sz w:val="20"/>
                <w:szCs w:val="20"/>
              </w:rPr>
              <w:t>益指标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社会认可度和美誉度</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提高</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提高</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r>
      <w:tr w:rsidR="00441154" w:rsidTr="005A1087">
        <w:trPr>
          <w:trHeight w:val="24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r>
      <w:tr w:rsidR="00441154" w:rsidTr="005A1087">
        <w:trPr>
          <w:trHeight w:val="239"/>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9" w:lineRule="exact"/>
              <w:jc w:val="center"/>
              <w:rPr>
                <w:sz w:val="20"/>
                <w:szCs w:val="20"/>
              </w:rPr>
            </w:pPr>
          </w:p>
        </w:tc>
      </w:tr>
      <w:tr w:rsidR="00441154" w:rsidTr="005A1087">
        <w:trPr>
          <w:trHeight w:val="298"/>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138" w:line="270" w:lineRule="exact"/>
              <w:jc w:val="center"/>
              <w:rPr>
                <w:sz w:val="20"/>
                <w:szCs w:val="20"/>
              </w:rPr>
            </w:pPr>
            <w:r>
              <w:rPr>
                <w:rFonts w:hint="eastAsia"/>
                <w:spacing w:val="-3"/>
                <w:position w:val="4"/>
                <w:sz w:val="20"/>
                <w:szCs w:val="20"/>
              </w:rPr>
              <w:t>生态效</w:t>
            </w:r>
            <w:r>
              <w:rPr>
                <w:rFonts w:hint="eastAsia"/>
                <w:spacing w:val="-3"/>
                <w:sz w:val="20"/>
                <w:szCs w:val="20"/>
              </w:rPr>
              <w:t>益指标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40" w:lineRule="exact"/>
              <w:jc w:val="center"/>
              <w:rPr>
                <w:sz w:val="20"/>
                <w:szCs w:val="20"/>
              </w:rPr>
            </w:pPr>
          </w:p>
        </w:tc>
      </w:tr>
      <w:tr w:rsidR="00441154" w:rsidTr="005A1087">
        <w:trPr>
          <w:trHeight w:val="298"/>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230"/>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30" w:lineRule="exact"/>
              <w:jc w:val="center"/>
              <w:rPr>
                <w:sz w:val="20"/>
                <w:szCs w:val="20"/>
              </w:rPr>
            </w:pPr>
          </w:p>
        </w:tc>
      </w:tr>
      <w:tr w:rsidR="00441154" w:rsidTr="005A1087">
        <w:trPr>
          <w:trHeight w:val="363"/>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227"/>
              <w:ind w:right="126"/>
              <w:jc w:val="center"/>
              <w:rPr>
                <w:sz w:val="20"/>
                <w:szCs w:val="20"/>
              </w:rPr>
            </w:pPr>
            <w:r>
              <w:rPr>
                <w:rFonts w:hint="eastAsia"/>
                <w:spacing w:val="-3"/>
                <w:sz w:val="20"/>
                <w:szCs w:val="20"/>
              </w:rPr>
              <w:t>可持续影</w:t>
            </w:r>
            <w:r>
              <w:rPr>
                <w:rFonts w:hint="eastAsia"/>
                <w:spacing w:val="2"/>
                <w:sz w:val="20"/>
                <w:szCs w:val="20"/>
              </w:rPr>
              <w:t>响指标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当地职业教育发展</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提升</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提升</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5</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3.5</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358"/>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人才培养质量</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提高</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提高</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5</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3.5</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193"/>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328"/>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val="restart"/>
            <w:tcBorders>
              <w:top w:val="nil"/>
              <w:left w:val="single" w:sz="4" w:space="0" w:color="000000"/>
              <w:bottom w:val="nil"/>
              <w:right w:val="single" w:sz="4" w:space="0" w:color="000000"/>
            </w:tcBorders>
            <w:vAlign w:val="center"/>
          </w:tcPr>
          <w:p w:rsidR="00441154" w:rsidRDefault="00441154" w:rsidP="005A1087">
            <w:pPr>
              <w:spacing w:before="108"/>
              <w:jc w:val="center"/>
              <w:rPr>
                <w:sz w:val="20"/>
                <w:szCs w:val="20"/>
              </w:rPr>
            </w:pPr>
            <w:r>
              <w:rPr>
                <w:rFonts w:hint="eastAsia"/>
                <w:spacing w:val="-2"/>
                <w:sz w:val="20"/>
                <w:szCs w:val="20"/>
              </w:rPr>
              <w:t>满意度</w:t>
            </w:r>
            <w:r>
              <w:rPr>
                <w:rFonts w:hint="eastAsia"/>
                <w:spacing w:val="-3"/>
                <w:sz w:val="20"/>
                <w:szCs w:val="20"/>
              </w:rPr>
              <w:t>指标</w:t>
            </w:r>
          </w:p>
          <w:p w:rsidR="00441154" w:rsidRDefault="00441154" w:rsidP="005A1087">
            <w:pPr>
              <w:spacing w:before="21"/>
              <w:jc w:val="center"/>
              <w:rPr>
                <w:sz w:val="20"/>
                <w:szCs w:val="20"/>
              </w:rPr>
            </w:pPr>
            <w:r>
              <w:rPr>
                <w:rFonts w:hint="eastAsia"/>
                <w:spacing w:val="8"/>
                <w:sz w:val="20"/>
                <w:szCs w:val="20"/>
              </w:rPr>
              <w:t>(10分)</w:t>
            </w:r>
          </w:p>
        </w:tc>
        <w:tc>
          <w:tcPr>
            <w:tcW w:w="900" w:type="dxa"/>
            <w:vMerge w:val="restart"/>
            <w:tcBorders>
              <w:top w:val="nil"/>
              <w:left w:val="single" w:sz="4" w:space="0" w:color="000000"/>
              <w:bottom w:val="nil"/>
              <w:right w:val="single" w:sz="4" w:space="0" w:color="000000"/>
            </w:tcBorders>
            <w:vAlign w:val="center"/>
          </w:tcPr>
          <w:p w:rsidR="00441154" w:rsidRDefault="00441154" w:rsidP="005A1087">
            <w:pPr>
              <w:spacing w:before="108"/>
              <w:jc w:val="center"/>
              <w:rPr>
                <w:sz w:val="20"/>
                <w:szCs w:val="20"/>
              </w:rPr>
            </w:pPr>
            <w:r>
              <w:rPr>
                <w:rFonts w:hint="eastAsia"/>
                <w:spacing w:val="-2"/>
                <w:sz w:val="20"/>
                <w:szCs w:val="20"/>
              </w:rPr>
              <w:t>服务对象</w:t>
            </w:r>
            <w:r>
              <w:rPr>
                <w:rFonts w:hint="eastAsia"/>
                <w:spacing w:val="3"/>
                <w:sz w:val="20"/>
                <w:szCs w:val="20"/>
              </w:rPr>
              <w:t>满意度指</w:t>
            </w:r>
            <w:r>
              <w:rPr>
                <w:rFonts w:hint="eastAsia"/>
                <w:sz w:val="20"/>
                <w:szCs w:val="20"/>
              </w:rPr>
              <w:t>标</w:t>
            </w: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家长满意度</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95%</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90%</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5</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4</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373"/>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学生满意度</w:t>
            </w: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95%</w:t>
            </w: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90%</w:t>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5</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4</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313"/>
          <w:jc w:val="center"/>
        </w:trPr>
        <w:tc>
          <w:tcPr>
            <w:tcW w:w="1139"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853"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900" w:type="dxa"/>
            <w:vMerge/>
            <w:tcBorders>
              <w:top w:val="nil"/>
              <w:left w:val="single" w:sz="4" w:space="0" w:color="000000"/>
              <w:bottom w:val="nil"/>
              <w:right w:val="single" w:sz="4" w:space="0" w:color="000000"/>
            </w:tcBorders>
            <w:vAlign w:val="center"/>
          </w:tcPr>
          <w:p w:rsidR="00441154" w:rsidRDefault="00441154" w:rsidP="005A1087">
            <w:pPr>
              <w:jc w:val="center"/>
              <w:rPr>
                <w:sz w:val="20"/>
                <w:szCs w:val="20"/>
              </w:rPr>
            </w:pPr>
          </w:p>
        </w:tc>
        <w:tc>
          <w:tcPr>
            <w:tcW w:w="2354" w:type="dxa"/>
            <w:gridSpan w:val="2"/>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r w:rsidR="00441154" w:rsidTr="005A1087">
        <w:trPr>
          <w:trHeight w:val="361"/>
          <w:jc w:val="center"/>
        </w:trPr>
        <w:tc>
          <w:tcPr>
            <w:tcW w:w="7902" w:type="dxa"/>
            <w:gridSpan w:val="7"/>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line="251" w:lineRule="exact"/>
              <w:ind w:firstLine="3274"/>
              <w:jc w:val="center"/>
              <w:textAlignment w:val="center"/>
            </w:pPr>
            <w:r>
              <w:rPr>
                <w:noProof/>
              </w:rPr>
              <w:drawing>
                <wp:inline distT="0" distB="0" distL="0" distR="0">
                  <wp:extent cx="304800" cy="161925"/>
                  <wp:effectExtent l="0" t="0" r="0" b="0"/>
                  <wp:docPr id="1" name="图片 1" descr="C:\Users\lenovo\AppData\Local\Temp\~tmp{e9f4df12-00f8-4de0-8c37-f5e48a501088}657778.files\~tmp{e9f4df12-00f8-4de0-8c37-f5e48a501088}65777815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AppData\Local\Temp\~tmp{e9f4df12-00f8-4de0-8c37-f5e48a501088}657778.files\~tmp{e9f4df12-00f8-4de0-8c37-f5e48a501088}65777815908.png"/>
                          <pic:cNvPicPr>
                            <a:picLocks noChangeAspect="1" noChangeArrowheads="1"/>
                          </pic:cNvPicPr>
                        </pic:nvPicPr>
                        <pic:blipFill>
                          <a:blip r:embed="rId6"/>
                          <a:srcRect/>
                          <a:stretch>
                            <a:fillRect/>
                          </a:stretch>
                        </pic:blipFill>
                        <pic:spPr>
                          <a:xfrm>
                            <a:off x="0" y="0"/>
                            <a:ext cx="304800" cy="161925"/>
                          </a:xfrm>
                          <a:prstGeom prst="rect">
                            <a:avLst/>
                          </a:prstGeom>
                          <a:noFill/>
                          <a:ln w="9525">
                            <a:noFill/>
                            <a:miter lim="800000"/>
                            <a:headEnd/>
                            <a:tailEnd/>
                          </a:ln>
                        </pic:spPr>
                      </pic:pic>
                    </a:graphicData>
                  </a:graphic>
                </wp:inline>
              </w:drawing>
            </w:r>
          </w:p>
        </w:tc>
        <w:tc>
          <w:tcPr>
            <w:tcW w:w="630"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100</w:t>
            </w:r>
          </w:p>
        </w:tc>
        <w:tc>
          <w:tcPr>
            <w:tcW w:w="931"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spacing w:before="138" w:line="270" w:lineRule="exact"/>
              <w:ind w:left="202"/>
              <w:jc w:val="center"/>
              <w:rPr>
                <w:spacing w:val="-3"/>
                <w:position w:val="4"/>
                <w:sz w:val="20"/>
                <w:szCs w:val="20"/>
              </w:rPr>
            </w:pPr>
            <w:r>
              <w:rPr>
                <w:rFonts w:hint="eastAsia"/>
                <w:spacing w:val="-3"/>
                <w:position w:val="4"/>
                <w:sz w:val="20"/>
                <w:szCs w:val="20"/>
              </w:rPr>
              <w:t>92</w:t>
            </w:r>
          </w:p>
        </w:tc>
        <w:tc>
          <w:tcPr>
            <w:tcW w:w="1344" w:type="dxa"/>
            <w:tcBorders>
              <w:top w:val="single" w:sz="4" w:space="0" w:color="000000"/>
              <w:left w:val="single" w:sz="4" w:space="0" w:color="000000"/>
              <w:bottom w:val="single" w:sz="4" w:space="0" w:color="000000"/>
              <w:right w:val="single" w:sz="4" w:space="0" w:color="000000"/>
            </w:tcBorders>
            <w:vAlign w:val="center"/>
          </w:tcPr>
          <w:p w:rsidR="00441154" w:rsidRDefault="00441154" w:rsidP="005A1087">
            <w:pPr>
              <w:jc w:val="center"/>
            </w:pPr>
          </w:p>
        </w:tc>
      </w:tr>
    </w:tbl>
    <w:p w:rsidR="001E1E2D" w:rsidRDefault="001E1E2D"/>
    <w:sectPr w:rsidR="001E1E2D" w:rsidSect="001E1E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B4E" w:rsidRDefault="00B44B4E" w:rsidP="00005FFB">
      <w:r>
        <w:separator/>
      </w:r>
    </w:p>
  </w:endnote>
  <w:endnote w:type="continuationSeparator" w:id="1">
    <w:p w:rsidR="00B44B4E" w:rsidRDefault="00B44B4E" w:rsidP="00005F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B4E" w:rsidRDefault="00B44B4E" w:rsidP="00005FFB">
      <w:r>
        <w:separator/>
      </w:r>
    </w:p>
  </w:footnote>
  <w:footnote w:type="continuationSeparator" w:id="1">
    <w:p w:rsidR="00B44B4E" w:rsidRDefault="00B44B4E" w:rsidP="00005F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1154"/>
    <w:rsid w:val="00005FFB"/>
    <w:rsid w:val="001E1E2D"/>
    <w:rsid w:val="0034651D"/>
    <w:rsid w:val="00441154"/>
    <w:rsid w:val="005C71F6"/>
    <w:rsid w:val="00B44B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154"/>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41154"/>
    <w:pPr>
      <w:spacing w:before="100" w:beforeAutospacing="1" w:after="100" w:afterAutospacing="1"/>
    </w:pPr>
  </w:style>
  <w:style w:type="paragraph" w:customStyle="1" w:styleId="Normal">
    <w:name w:val="[Normal]"/>
    <w:basedOn w:val="a"/>
    <w:rsid w:val="00441154"/>
    <w:rPr>
      <w:rFonts w:cs="Times New Roman"/>
    </w:rPr>
  </w:style>
  <w:style w:type="table" w:customStyle="1" w:styleId="TableNormal">
    <w:name w:val="Table Normal"/>
    <w:basedOn w:val="a1"/>
    <w:qFormat/>
    <w:rsid w:val="00441154"/>
    <w:rPr>
      <w:rFonts w:ascii="Times New Roman" w:eastAsia="宋体" w:hAnsi="Times New Roman" w:cs="Times New Roman"/>
      <w:kern w:val="0"/>
      <w:sz w:val="20"/>
      <w:szCs w:val="20"/>
    </w:rPr>
    <w:tblPr>
      <w:tblInd w:w="0" w:type="dxa"/>
      <w:tblCellMar>
        <w:top w:w="0" w:type="dxa"/>
        <w:left w:w="0" w:type="dxa"/>
        <w:bottom w:w="0" w:type="dxa"/>
        <w:right w:w="0" w:type="dxa"/>
      </w:tblCellMar>
    </w:tblPr>
  </w:style>
  <w:style w:type="paragraph" w:styleId="a4">
    <w:name w:val="Balloon Text"/>
    <w:basedOn w:val="a"/>
    <w:link w:val="Char"/>
    <w:uiPriority w:val="99"/>
    <w:semiHidden/>
    <w:unhideWhenUsed/>
    <w:rsid w:val="00441154"/>
    <w:rPr>
      <w:sz w:val="18"/>
      <w:szCs w:val="18"/>
    </w:rPr>
  </w:style>
  <w:style w:type="character" w:customStyle="1" w:styleId="Char">
    <w:name w:val="批注框文本 Char"/>
    <w:basedOn w:val="a0"/>
    <w:link w:val="a4"/>
    <w:uiPriority w:val="99"/>
    <w:semiHidden/>
    <w:rsid w:val="00441154"/>
    <w:rPr>
      <w:rFonts w:ascii="宋体" w:eastAsia="宋体" w:hAnsi="宋体" w:cs="宋体"/>
      <w:kern w:val="0"/>
      <w:sz w:val="18"/>
      <w:szCs w:val="18"/>
    </w:rPr>
  </w:style>
  <w:style w:type="paragraph" w:styleId="a5">
    <w:name w:val="header"/>
    <w:basedOn w:val="a"/>
    <w:link w:val="Char0"/>
    <w:uiPriority w:val="99"/>
    <w:semiHidden/>
    <w:unhideWhenUsed/>
    <w:rsid w:val="00005FF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005FFB"/>
    <w:rPr>
      <w:rFonts w:ascii="宋体" w:eastAsia="宋体" w:hAnsi="宋体" w:cs="宋体"/>
      <w:kern w:val="0"/>
      <w:sz w:val="18"/>
      <w:szCs w:val="18"/>
    </w:rPr>
  </w:style>
  <w:style w:type="paragraph" w:styleId="a6">
    <w:name w:val="footer"/>
    <w:basedOn w:val="a"/>
    <w:link w:val="Char1"/>
    <w:uiPriority w:val="99"/>
    <w:semiHidden/>
    <w:unhideWhenUsed/>
    <w:rsid w:val="00005FFB"/>
    <w:pPr>
      <w:tabs>
        <w:tab w:val="center" w:pos="4153"/>
        <w:tab w:val="right" w:pos="8306"/>
      </w:tabs>
      <w:snapToGrid w:val="0"/>
    </w:pPr>
    <w:rPr>
      <w:sz w:val="18"/>
      <w:szCs w:val="18"/>
    </w:rPr>
  </w:style>
  <w:style w:type="character" w:customStyle="1" w:styleId="Char1">
    <w:name w:val="页脚 Char"/>
    <w:basedOn w:val="a0"/>
    <w:link w:val="a6"/>
    <w:uiPriority w:val="99"/>
    <w:semiHidden/>
    <w:rsid w:val="00005FFB"/>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898</Words>
  <Characters>5123</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2023-09-20T09:43:00Z</dcterms:created>
  <dcterms:modified xsi:type="dcterms:W3CDTF">2023-09-21T08:51:00Z</dcterms:modified>
</cp:coreProperties>
</file>