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27.xml" ContentType="application/vnd.ms-office.chartcolorstyle+xml"/>
  <Override PartName="/word/charts/colors28.xml" ContentType="application/vnd.ms-office.chartcolorstyle+xml"/>
  <Override PartName="/word/charts/colors29.xml" ContentType="application/vnd.ms-office.chartcolorstyle+xml"/>
  <Override PartName="/word/charts/colors3.xml" ContentType="application/vnd.ms-office.chartcolorstyle+xml"/>
  <Override PartName="/word/charts/colors30.xml" ContentType="application/vnd.ms-office.chartcolorstyle+xml"/>
  <Override PartName="/word/charts/colors31.xml" ContentType="application/vnd.ms-office.chartcolorstyle+xml"/>
  <Override PartName="/word/charts/colors32.xml" ContentType="application/vnd.ms-office.chartcolorstyle+xml"/>
  <Override PartName="/word/charts/colors33.xml" ContentType="application/vnd.ms-office.chartcolorstyle+xml"/>
  <Override PartName="/word/charts/colors34.xml" ContentType="application/vnd.ms-office.chartcolorstyle+xml"/>
  <Override PartName="/word/charts/colors35.xml" ContentType="application/vnd.ms-office.chartcolorstyle+xml"/>
  <Override PartName="/word/charts/colors36.xml" ContentType="application/vnd.ms-office.chartcolorstyle+xml"/>
  <Override PartName="/word/charts/colors37.xml" ContentType="application/vnd.ms-office.chartcolorstyle+xml"/>
  <Override PartName="/word/charts/colors38.xml" ContentType="application/vnd.ms-office.chartcolorstyle+xml"/>
  <Override PartName="/word/charts/colors39.xml" ContentType="application/vnd.ms-office.chartcolorstyle+xml"/>
  <Override PartName="/word/charts/colors4.xml" ContentType="application/vnd.ms-office.chartcolorstyle+xml"/>
  <Override PartName="/word/charts/colors40.xml" ContentType="application/vnd.ms-office.chartcolorstyle+xml"/>
  <Override PartName="/word/charts/colors41.xml" ContentType="application/vnd.ms-office.chartcolorstyle+xml"/>
  <Override PartName="/word/charts/colors42.xml" ContentType="application/vnd.ms-office.chartcolorstyle+xml"/>
  <Override PartName="/word/charts/colors43.xml" ContentType="application/vnd.ms-office.chartcolorstyle+xml"/>
  <Override PartName="/word/charts/colors44.xml" ContentType="application/vnd.ms-office.chartcolorstyle+xml"/>
  <Override PartName="/word/charts/colors45.xml" ContentType="application/vnd.ms-office.chartcolorstyle+xml"/>
  <Override PartName="/word/charts/colors46.xml" ContentType="application/vnd.ms-office.chartcolorstyle+xml"/>
  <Override PartName="/word/charts/colors47.xml" ContentType="application/vnd.ms-office.chartcolorstyle+xml"/>
  <Override PartName="/word/charts/colors48.xml" ContentType="application/vnd.ms-office.chartcolorstyle+xml"/>
  <Override PartName="/word/charts/colors49.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27.xml" ContentType="application/vnd.ms-office.chartstyle+xml"/>
  <Override PartName="/word/charts/style28.xml" ContentType="application/vnd.ms-office.chartstyle+xml"/>
  <Override PartName="/word/charts/style29.xml" ContentType="application/vnd.ms-office.chartstyle+xml"/>
  <Override PartName="/word/charts/style3.xml" ContentType="application/vnd.ms-office.chartstyle+xml"/>
  <Override PartName="/word/charts/style30.xml" ContentType="application/vnd.ms-office.chartstyle+xml"/>
  <Override PartName="/word/charts/style31.xml" ContentType="application/vnd.ms-office.chartstyle+xml"/>
  <Override PartName="/word/charts/style32.xml" ContentType="application/vnd.ms-office.chartstyle+xml"/>
  <Override PartName="/word/charts/style33.xml" ContentType="application/vnd.ms-office.chartstyle+xml"/>
  <Override PartName="/word/charts/style34.xml" ContentType="application/vnd.ms-office.chartstyle+xml"/>
  <Override PartName="/word/charts/style35.xml" ContentType="application/vnd.ms-office.chartstyle+xml"/>
  <Override PartName="/word/charts/style36.xml" ContentType="application/vnd.ms-office.chartstyle+xml"/>
  <Override PartName="/word/charts/style37.xml" ContentType="application/vnd.ms-office.chartstyle+xml"/>
  <Override PartName="/word/charts/style38.xml" ContentType="application/vnd.ms-office.chartstyle+xml"/>
  <Override PartName="/word/charts/style39.xml" ContentType="application/vnd.ms-office.chartstyle+xml"/>
  <Override PartName="/word/charts/style4.xml" ContentType="application/vnd.ms-office.chartstyle+xml"/>
  <Override PartName="/word/charts/style40.xml" ContentType="application/vnd.ms-office.chartstyle+xml"/>
  <Override PartName="/word/charts/style41.xml" ContentType="application/vnd.ms-office.chartstyle+xml"/>
  <Override PartName="/word/charts/style42.xml" ContentType="application/vnd.ms-office.chartstyle+xml"/>
  <Override PartName="/word/charts/style43.xml" ContentType="application/vnd.ms-office.chartstyle+xml"/>
  <Override PartName="/word/charts/style44.xml" ContentType="application/vnd.ms-office.chartstyle+xml"/>
  <Override PartName="/word/charts/style45.xml" ContentType="application/vnd.ms-office.chartstyle+xml"/>
  <Override PartName="/word/charts/style46.xml" ContentType="application/vnd.ms-office.chartstyle+xml"/>
  <Override PartName="/word/charts/style47.xml" ContentType="application/vnd.ms-office.chartstyle+xml"/>
  <Override PartName="/word/charts/style48.xml" ContentType="application/vnd.ms-office.chartstyle+xml"/>
  <Override PartName="/word/charts/style49.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lang w:val="ru-RU"/>
        </w:rPr>
      </w:pPr>
    </w:p>
    <w:p>
      <w:pPr>
        <w:jc w:val="center"/>
        <w:rPr>
          <w:sz w:val="36"/>
          <w:szCs w:val="36"/>
          <w:lang w:val="ru-RU"/>
        </w:rPr>
      </w:pPr>
      <w:r>
        <w:rPr>
          <w:rFonts w:hint="eastAsia" w:ascii="仿宋_GB2312" w:eastAsia="仿宋_GB2312"/>
          <w:b/>
          <w:sz w:val="28"/>
          <w:szCs w:val="28"/>
        </w:rPr>
        <w:drawing>
          <wp:inline distT="0" distB="0" distL="0" distR="0">
            <wp:extent cx="1518920" cy="1555750"/>
            <wp:effectExtent l="19050" t="0" r="4761" b="0"/>
            <wp:docPr id="26" name="图片 1" descr="1-150Z91K30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1-150Z91K303628"/>
                    <pic:cNvPicPr>
                      <a:picLocks noChangeAspect="1" noChangeArrowheads="1"/>
                    </pic:cNvPicPr>
                  </pic:nvPicPr>
                  <pic:blipFill>
                    <a:blip r:embed="rId6" cstate="print"/>
                    <a:srcRect/>
                    <a:stretch>
                      <a:fillRect/>
                    </a:stretch>
                  </pic:blipFill>
                  <pic:spPr>
                    <a:xfrm>
                      <a:off x="0" y="0"/>
                      <a:ext cx="1531546" cy="1568898"/>
                    </a:xfrm>
                    <a:prstGeom prst="rect">
                      <a:avLst/>
                    </a:prstGeom>
                    <a:noFill/>
                    <a:ln w="9525">
                      <a:noFill/>
                      <a:miter lim="800000"/>
                      <a:headEnd/>
                      <a:tailEnd/>
                    </a:ln>
                  </pic:spPr>
                </pic:pic>
              </a:graphicData>
            </a:graphic>
          </wp:inline>
        </w:drawing>
      </w:r>
    </w:p>
    <w:p>
      <w:pPr>
        <w:jc w:val="center"/>
        <w:rPr>
          <w:sz w:val="36"/>
          <w:szCs w:val="36"/>
          <w:lang w:val="ru-RU"/>
        </w:rPr>
      </w:pPr>
    </w:p>
    <w:p>
      <w:pPr>
        <w:jc w:val="center"/>
        <w:rPr>
          <w:rFonts w:ascii="黑体" w:eastAsia="黑体"/>
          <w:spacing w:val="160"/>
          <w:sz w:val="44"/>
          <w:szCs w:val="44"/>
        </w:rPr>
      </w:pPr>
      <w:r>
        <w:rPr>
          <w:rFonts w:hint="eastAsia" w:ascii="黑体" w:eastAsia="黑体"/>
          <w:spacing w:val="160"/>
          <w:sz w:val="44"/>
          <w:szCs w:val="44"/>
        </w:rPr>
        <w:t>邵阳职业技术学院</w:t>
      </w:r>
    </w:p>
    <w:p>
      <w:pPr>
        <w:jc w:val="center"/>
        <w:rPr>
          <w:rFonts w:ascii="黑体" w:eastAsia="黑体"/>
          <w:sz w:val="44"/>
          <w:szCs w:val="44"/>
        </w:rPr>
      </w:pPr>
    </w:p>
    <w:p>
      <w:pPr>
        <w:snapToGrid w:val="0"/>
        <w:spacing w:line="240" w:lineRule="atLeast"/>
        <w:jc w:val="center"/>
        <w:rPr>
          <w:rFonts w:hint="eastAsia" w:ascii="黑体" w:eastAsia="黑体"/>
          <w:sz w:val="48"/>
          <w:szCs w:val="48"/>
        </w:rPr>
      </w:pPr>
      <w:r>
        <w:rPr>
          <w:rFonts w:hint="eastAsia" w:ascii="黑体" w:eastAsia="黑体"/>
          <w:sz w:val="48"/>
          <w:szCs w:val="48"/>
        </w:rPr>
        <w:t>20</w:t>
      </w:r>
      <w:r>
        <w:rPr>
          <w:rFonts w:hint="eastAsia" w:ascii="黑体" w:eastAsia="黑体"/>
          <w:sz w:val="48"/>
          <w:szCs w:val="48"/>
          <w:lang w:val="en-US" w:eastAsia="zh-CN"/>
        </w:rPr>
        <w:t>23</w:t>
      </w:r>
      <w:r>
        <w:rPr>
          <w:rFonts w:hint="eastAsia" w:ascii="黑体" w:eastAsia="黑体"/>
          <w:sz w:val="48"/>
          <w:szCs w:val="48"/>
        </w:rPr>
        <w:t>届毕业生就业质量年度报告</w:t>
      </w:r>
    </w:p>
    <w:p>
      <w:pPr>
        <w:pStyle w:val="6"/>
      </w:pPr>
    </w:p>
    <w:p>
      <w:pPr>
        <w:jc w:val="center"/>
        <w:rPr>
          <w:rFonts w:ascii="仿宋_GB2312" w:eastAsia="仿宋_GB2312"/>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p>
    <w:p>
      <w:pPr>
        <w:jc w:val="center"/>
        <w:rPr>
          <w:rFonts w:ascii="仿宋_GB2312" w:eastAsia="仿宋_GB2312"/>
          <w:b/>
          <w:sz w:val="28"/>
          <w:szCs w:val="28"/>
        </w:rPr>
      </w:pPr>
      <w:r>
        <w:rPr>
          <w:rFonts w:hint="eastAsia" w:ascii="仿宋_GB2312" w:eastAsia="仿宋_GB2312"/>
          <w:b/>
          <w:sz w:val="28"/>
          <w:szCs w:val="28"/>
        </w:rPr>
        <w:t>二</w:t>
      </w:r>
      <w:r>
        <w:rPr>
          <w:rFonts w:hint="eastAsia" w:ascii="仿宋_GB2312" w:eastAsia="仿宋_GB2312"/>
          <w:b/>
          <w:sz w:val="28"/>
          <w:szCs w:val="28"/>
          <w:lang w:eastAsia="zh-CN"/>
        </w:rPr>
        <w:t>〇</w:t>
      </w:r>
      <w:r>
        <w:rPr>
          <w:rFonts w:hint="eastAsia" w:ascii="仿宋_GB2312" w:eastAsia="仿宋_GB2312"/>
          <w:b/>
          <w:sz w:val="28"/>
          <w:szCs w:val="28"/>
          <w:lang w:val="en-US" w:eastAsia="zh-CN"/>
        </w:rPr>
        <w:t>二三</w:t>
      </w:r>
      <w:r>
        <w:rPr>
          <w:rFonts w:hint="eastAsia" w:ascii="仿宋_GB2312" w:eastAsia="仿宋_GB2312"/>
          <w:b/>
          <w:sz w:val="28"/>
          <w:szCs w:val="28"/>
        </w:rPr>
        <w:t>年十二月</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hint="eastAsia" w:asciiTheme="minorEastAsia" w:hAnsiTheme="minorEastAsia" w:eastAsiaTheme="minorEastAsia"/>
          <w:sz w:val="36"/>
          <w:szCs w:val="36"/>
          <w:lang w:val="ru-RU"/>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Theme="minorEastAsia" w:hAnsiTheme="minorEastAsia" w:eastAsiaTheme="minorEastAsia"/>
          <w:sz w:val="36"/>
          <w:szCs w:val="36"/>
          <w:lang w:val="ru-RU"/>
        </w:rPr>
      </w:pPr>
      <w:r>
        <w:rPr>
          <w:rFonts w:hint="eastAsia" w:asciiTheme="minorEastAsia" w:hAnsiTheme="minorEastAsia" w:eastAsiaTheme="minorEastAsia"/>
          <w:sz w:val="36"/>
          <w:szCs w:val="36"/>
          <w:lang w:val="ru-RU"/>
        </w:rPr>
        <w:t>邵阳职业技术学院20</w:t>
      </w:r>
      <w:r>
        <w:rPr>
          <w:rFonts w:hint="eastAsia" w:asciiTheme="minorEastAsia" w:hAnsiTheme="minorEastAsia" w:eastAsiaTheme="minorEastAsia"/>
          <w:sz w:val="36"/>
          <w:szCs w:val="36"/>
          <w:lang w:val="en-US" w:eastAsia="zh-CN"/>
        </w:rPr>
        <w:t>23</w:t>
      </w:r>
      <w:r>
        <w:rPr>
          <w:rFonts w:hint="eastAsia" w:asciiTheme="minorEastAsia" w:hAnsiTheme="minorEastAsia" w:eastAsiaTheme="minorEastAsia"/>
          <w:sz w:val="36"/>
          <w:szCs w:val="36"/>
          <w:lang w:val="ru-RU"/>
        </w:rPr>
        <w:t>届毕业生就业质量年度报告</w:t>
      </w:r>
    </w:p>
    <w:p>
      <w:pPr>
        <w:jc w:val="center"/>
        <w:rPr>
          <w:rFonts w:asciiTheme="minorEastAsia" w:hAnsiTheme="minorEastAsia" w:eastAsiaTheme="minorEastAsia"/>
          <w:sz w:val="36"/>
          <w:szCs w:val="36"/>
          <w:highlight w:val="none"/>
          <w:lang w:val="ru-RU"/>
        </w:rPr>
      </w:pPr>
    </w:p>
    <w:p>
      <w:pPr>
        <w:widowControl/>
        <w:spacing w:line="360" w:lineRule="auto"/>
        <w:ind w:firstLine="560" w:firstLineChars="200"/>
        <w:rPr>
          <w:sz w:val="28"/>
          <w:szCs w:val="28"/>
          <w:highlight w:val="none"/>
          <w:lang w:val="ru-RU"/>
        </w:rPr>
      </w:pPr>
      <w:r>
        <w:rPr>
          <w:rFonts w:hint="eastAsia"/>
          <w:sz w:val="28"/>
          <w:szCs w:val="28"/>
          <w:highlight w:val="none"/>
          <w:lang w:val="ru-RU"/>
        </w:rPr>
        <w:t>为全面系统地反映</w:t>
      </w:r>
      <w:r>
        <w:rPr>
          <w:rFonts w:hint="eastAsia"/>
          <w:sz w:val="28"/>
          <w:szCs w:val="28"/>
          <w:highlight w:val="none"/>
          <w:lang w:val="en-US" w:eastAsia="zh-CN"/>
        </w:rPr>
        <w:t>我校2023</w:t>
      </w:r>
      <w:r>
        <w:rPr>
          <w:rFonts w:hint="eastAsia"/>
          <w:sz w:val="28"/>
          <w:szCs w:val="28"/>
          <w:highlight w:val="none"/>
          <w:lang w:val="ru-RU"/>
        </w:rPr>
        <w:t>届毕业生就业工作实际情况，及时回应社会关切、接受社会监督，根据教育部办公厅《关于编制发布高校毕业生就业质量年度报告的通知》（教学厅函〔</w:t>
      </w:r>
      <w:r>
        <w:rPr>
          <w:sz w:val="28"/>
          <w:szCs w:val="28"/>
          <w:highlight w:val="none"/>
          <w:lang w:val="ru-RU"/>
        </w:rPr>
        <w:t>2013</w:t>
      </w:r>
      <w:r>
        <w:rPr>
          <w:rFonts w:hint="eastAsia"/>
          <w:sz w:val="28"/>
          <w:szCs w:val="28"/>
          <w:highlight w:val="none"/>
          <w:lang w:val="ru-RU"/>
        </w:rPr>
        <w:t>〕</w:t>
      </w:r>
      <w:r>
        <w:rPr>
          <w:sz w:val="28"/>
          <w:szCs w:val="28"/>
          <w:highlight w:val="none"/>
          <w:lang w:val="ru-RU"/>
        </w:rPr>
        <w:t>25</w:t>
      </w:r>
      <w:r>
        <w:rPr>
          <w:rFonts w:hint="eastAsia"/>
          <w:sz w:val="28"/>
          <w:szCs w:val="28"/>
          <w:highlight w:val="none"/>
          <w:lang w:val="ru-RU"/>
        </w:rPr>
        <w:t>号）及《教育部关于做好</w:t>
      </w:r>
      <w:r>
        <w:rPr>
          <w:rFonts w:hint="eastAsia"/>
          <w:sz w:val="28"/>
          <w:szCs w:val="28"/>
          <w:highlight w:val="none"/>
          <w:lang w:val="en-US" w:eastAsia="zh-CN"/>
        </w:rPr>
        <w:t>2023</w:t>
      </w:r>
      <w:r>
        <w:rPr>
          <w:rFonts w:hint="eastAsia"/>
          <w:sz w:val="28"/>
          <w:szCs w:val="28"/>
          <w:highlight w:val="none"/>
          <w:lang w:val="ru-RU"/>
        </w:rPr>
        <w:t>届全国普通高等学校毕业生就业创业工作的通知》（教学〔</w:t>
      </w:r>
      <w:r>
        <w:rPr>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w:t>
      </w:r>
      <w:r>
        <w:rPr>
          <w:rFonts w:hint="eastAsia"/>
          <w:sz w:val="28"/>
          <w:szCs w:val="28"/>
          <w:highlight w:val="none"/>
          <w:lang w:val="en-US" w:eastAsia="zh-CN"/>
        </w:rPr>
        <w:t>5</w:t>
      </w:r>
      <w:r>
        <w:rPr>
          <w:rFonts w:hint="eastAsia"/>
          <w:sz w:val="28"/>
          <w:szCs w:val="28"/>
          <w:highlight w:val="none"/>
          <w:lang w:val="ru-RU"/>
        </w:rPr>
        <w:t>号）文件要求，编写《邵阳职业技术学院</w:t>
      </w:r>
      <w:r>
        <w:rPr>
          <w:rFonts w:hint="eastAsia"/>
          <w:sz w:val="28"/>
          <w:szCs w:val="28"/>
          <w:highlight w:val="none"/>
          <w:lang w:val="en-US" w:eastAsia="zh-CN"/>
        </w:rPr>
        <w:t>2023届</w:t>
      </w:r>
      <w:r>
        <w:rPr>
          <w:rFonts w:hint="eastAsia"/>
          <w:sz w:val="28"/>
          <w:szCs w:val="28"/>
          <w:highlight w:val="none"/>
          <w:lang w:val="ru-RU"/>
        </w:rPr>
        <w:t>毕业生就业质量</w:t>
      </w:r>
      <w:r>
        <w:rPr>
          <w:rFonts w:hint="eastAsia"/>
          <w:sz w:val="28"/>
          <w:szCs w:val="28"/>
          <w:highlight w:val="none"/>
          <w:lang w:val="en-US" w:eastAsia="zh-CN"/>
        </w:rPr>
        <w:t>年度</w:t>
      </w:r>
      <w:r>
        <w:rPr>
          <w:rFonts w:hint="eastAsia"/>
          <w:sz w:val="28"/>
          <w:szCs w:val="28"/>
          <w:highlight w:val="none"/>
          <w:lang w:val="ru-RU"/>
        </w:rPr>
        <w:t>报告》。</w:t>
      </w:r>
    </w:p>
    <w:p>
      <w:pPr>
        <w:widowControl/>
        <w:spacing w:line="360" w:lineRule="auto"/>
        <w:ind w:firstLine="560" w:firstLineChars="200"/>
        <w:rPr>
          <w:sz w:val="28"/>
          <w:szCs w:val="28"/>
          <w:highlight w:val="none"/>
          <w:lang w:val="ru-RU"/>
        </w:rPr>
      </w:pPr>
      <w:r>
        <w:rPr>
          <w:rFonts w:hint="eastAsia"/>
          <w:sz w:val="28"/>
          <w:szCs w:val="28"/>
          <w:highlight w:val="none"/>
          <w:lang w:val="ru-RU"/>
        </w:rPr>
        <w:t>本报告以</w:t>
      </w:r>
      <w:r>
        <w:rPr>
          <w:rFonts w:hint="eastAsia"/>
          <w:sz w:val="28"/>
          <w:szCs w:val="28"/>
          <w:highlight w:val="none"/>
          <w:lang w:val="en-US" w:eastAsia="zh-CN"/>
        </w:rPr>
        <w:t>我校2023</w:t>
      </w:r>
      <w:r>
        <w:rPr>
          <w:rFonts w:hint="eastAsia"/>
          <w:sz w:val="28"/>
          <w:szCs w:val="28"/>
          <w:highlight w:val="none"/>
          <w:lang w:val="ru-RU"/>
        </w:rPr>
        <w:t>届毕业生就业调研数据为依据，从毕业生就业数量、质量、过程三方面，对学生</w:t>
      </w:r>
      <w:r>
        <w:rPr>
          <w:rFonts w:hint="eastAsia"/>
          <w:sz w:val="28"/>
          <w:szCs w:val="28"/>
          <w:highlight w:val="none"/>
          <w:lang w:val="en-US" w:eastAsia="zh-CN"/>
        </w:rPr>
        <w:t>毕业去向落实</w:t>
      </w:r>
      <w:r>
        <w:rPr>
          <w:rFonts w:hint="eastAsia"/>
          <w:sz w:val="28"/>
          <w:szCs w:val="28"/>
          <w:highlight w:val="none"/>
          <w:lang w:val="ru-RU"/>
        </w:rPr>
        <w:t>率、就业形式、行业分布、区域分布、市场需求等方面进行了调研分析，对毕业生就业满意度、专业相关度、就业稳定性及用人单位评价进行了总结分析，并从就业视角对学校教育教学给出了反馈和建议。</w:t>
      </w: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both"/>
        <w:rPr>
          <w:rFonts w:hint="eastAsia" w:ascii="黑体" w:eastAsia="黑体"/>
          <w:sz w:val="44"/>
          <w:szCs w:val="44"/>
        </w:rPr>
      </w:pPr>
    </w:p>
    <w:p>
      <w:pPr>
        <w:jc w:val="center"/>
        <w:rPr>
          <w:rFonts w:ascii="黑体" w:eastAsia="黑体"/>
          <w:sz w:val="44"/>
          <w:szCs w:val="44"/>
        </w:rPr>
      </w:pPr>
      <w:r>
        <w:rPr>
          <w:rFonts w:hint="eastAsia" w:ascii="黑体" w:eastAsia="黑体"/>
          <w:sz w:val="44"/>
          <w:szCs w:val="44"/>
        </w:rPr>
        <w:t>目   录</w:t>
      </w:r>
    </w:p>
    <w:p>
      <w:pPr>
        <w:rPr>
          <w:rFonts w:ascii="仿宋_GB2312" w:eastAsia="仿宋_GB2312"/>
          <w:b/>
          <w:sz w:val="28"/>
          <w:szCs w:val="28"/>
          <w:highlight w:val="none"/>
        </w:rPr>
      </w:pPr>
    </w:p>
    <w:p>
      <w:pPr>
        <w:rPr>
          <w:rFonts w:hint="eastAsia" w:ascii="仿宋_GB2312" w:eastAsia="仿宋_GB2312"/>
          <w:b/>
          <w:sz w:val="28"/>
          <w:szCs w:val="28"/>
          <w:highlight w:val="none"/>
          <w:lang w:eastAsia="zh-CN"/>
        </w:rPr>
      </w:pPr>
      <w:r>
        <w:rPr>
          <w:rFonts w:hint="eastAsia" w:ascii="仿宋_GB2312" w:eastAsia="仿宋_GB2312"/>
          <w:b/>
          <w:sz w:val="28"/>
          <w:szCs w:val="28"/>
          <w:highlight w:val="none"/>
        </w:rPr>
        <w:t>学</w:t>
      </w:r>
      <w:r>
        <w:rPr>
          <w:rFonts w:hint="eastAsia" w:ascii="仿宋_GB2312" w:eastAsia="仿宋_GB2312"/>
          <w:b/>
          <w:sz w:val="28"/>
          <w:szCs w:val="28"/>
          <w:highlight w:val="none"/>
          <w:lang w:val="en-US" w:eastAsia="zh-CN"/>
        </w:rPr>
        <w:t>校概况</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第一章 毕业生生源及毕业去向</w:t>
      </w:r>
    </w:p>
    <w:p>
      <w:pPr>
        <w:rPr>
          <w:rFonts w:ascii="仿宋_GB2312" w:eastAsia="仿宋_GB2312"/>
          <w:b w:val="0"/>
          <w:bCs/>
          <w:sz w:val="28"/>
          <w:szCs w:val="28"/>
          <w:highlight w:val="none"/>
        </w:rPr>
      </w:pPr>
      <w:r>
        <w:rPr>
          <w:rFonts w:hint="eastAsia" w:ascii="仿宋_GB2312" w:eastAsia="仿宋_GB2312"/>
          <w:b w:val="0"/>
          <w:bCs/>
          <w:sz w:val="28"/>
          <w:szCs w:val="28"/>
          <w:highlight w:val="none"/>
        </w:rPr>
        <w:t xml:space="preserve">一、 </w:t>
      </w:r>
      <w:r>
        <w:rPr>
          <w:rFonts w:ascii="仿宋_GB2312" w:eastAsia="仿宋_GB2312"/>
          <w:b w:val="0"/>
          <w:bCs/>
          <w:sz w:val="28"/>
          <w:szCs w:val="28"/>
          <w:highlight w:val="none"/>
          <w:lang w:val="ru-RU"/>
        </w:rPr>
        <w:t>毕业生规模</w:t>
      </w:r>
      <w:r>
        <w:rPr>
          <w:rFonts w:hint="eastAsia" w:ascii="仿宋_GB2312" w:eastAsia="仿宋_GB2312"/>
          <w:b w:val="0"/>
          <w:bCs/>
          <w:sz w:val="28"/>
          <w:szCs w:val="28"/>
          <w:highlight w:val="none"/>
          <w:lang w:val="en-US" w:eastAsia="zh-CN"/>
        </w:rPr>
        <w:t>及</w:t>
      </w:r>
      <w:r>
        <w:rPr>
          <w:rFonts w:ascii="仿宋_GB2312" w:eastAsia="仿宋_GB2312"/>
          <w:b w:val="0"/>
          <w:bCs/>
          <w:sz w:val="28"/>
          <w:szCs w:val="28"/>
          <w:highlight w:val="none"/>
          <w:lang w:val="ru-RU"/>
        </w:rPr>
        <w:t>结构</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ascii="仿宋_GB2312" w:eastAsia="仿宋_GB2312"/>
          <w:b w:val="0"/>
          <w:bCs/>
          <w:sz w:val="28"/>
          <w:szCs w:val="28"/>
          <w:highlight w:val="none"/>
          <w:lang w:val="ru-RU"/>
        </w:rPr>
        <w:t>毕业生</w:t>
      </w:r>
      <w:r>
        <w:rPr>
          <w:rFonts w:hint="eastAsia" w:ascii="仿宋_GB2312" w:eastAsia="仿宋_GB2312"/>
          <w:b w:val="0"/>
          <w:bCs/>
          <w:sz w:val="28"/>
          <w:szCs w:val="28"/>
          <w:highlight w:val="none"/>
          <w:lang w:val="en-US" w:eastAsia="zh-CN"/>
        </w:rPr>
        <w:t>就业类型</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第二章 毕业生就业单位情况</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rPr>
        <w:t>一、</w:t>
      </w:r>
      <w:r>
        <w:rPr>
          <w:rFonts w:hint="eastAsia" w:ascii="仿宋_GB2312" w:eastAsia="仿宋_GB2312"/>
          <w:b w:val="0"/>
          <w:bCs/>
          <w:sz w:val="28"/>
          <w:szCs w:val="28"/>
          <w:highlight w:val="none"/>
          <w:lang w:val="en-US" w:eastAsia="zh-CN"/>
        </w:rPr>
        <w:t xml:space="preserve"> 总体就业行业结构</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 单位性质</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 工作职位类别</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 就业地域流向</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第三章 毕业生就业质量跟踪与反馈</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就业结果</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就业适配</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就业发展</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求职行为</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第四章 毕业生升学情况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升学情况</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升学评价与反馈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第五章 毕业生自主创业情况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自主创业情况</w:t>
      </w:r>
    </w:p>
    <w:p>
      <w:pPr>
        <w:pStyle w:val="2"/>
        <w:ind w:left="0" w:leftChars="0" w:firstLine="0" w:firstLineChars="0"/>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自主创业评价与反馈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第六章 毕业生自由职业情况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自由职业情况</w:t>
      </w:r>
    </w:p>
    <w:p>
      <w:pPr>
        <w:rPr>
          <w:rFonts w:hint="default"/>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自由职业评价与反馈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第七章 未就业毕业生情况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一、</w:t>
      </w:r>
      <w:r>
        <w:rPr>
          <w:rFonts w:hint="eastAsia" w:ascii="仿宋_GB2312" w:eastAsia="仿宋_GB2312"/>
          <w:b w:val="0"/>
          <w:bCs/>
          <w:sz w:val="28"/>
          <w:szCs w:val="28"/>
          <w:highlight w:val="none"/>
          <w:lang w:val="en-US" w:eastAsia="zh-CN"/>
        </w:rPr>
        <w:t xml:space="preserve"> 未就业状况</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w:t>
      </w:r>
      <w:r>
        <w:rPr>
          <w:rFonts w:hint="eastAsia" w:ascii="仿宋_GB2312" w:eastAsia="仿宋_GB2312"/>
          <w:b w:val="0"/>
          <w:bCs/>
          <w:sz w:val="28"/>
          <w:szCs w:val="28"/>
          <w:highlight w:val="none"/>
          <w:lang w:val="en-US" w:eastAsia="zh-CN"/>
        </w:rPr>
        <w:t xml:space="preserve"> 未就业评价与反馈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第八章 母校评价</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母校满意度</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教育教学评价</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就业创业服务评价</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第九章 用人单位对毕业生及学校的评价与反馈</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参与调研用人单位基本情况分析</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w:t>
      </w:r>
      <w:r>
        <w:rPr>
          <w:rFonts w:hint="eastAsia" w:ascii="仿宋_GB2312" w:eastAsia="仿宋_GB2312"/>
          <w:b w:val="0"/>
          <w:bCs/>
          <w:sz w:val="28"/>
          <w:szCs w:val="28"/>
          <w:highlight w:val="none"/>
          <w:lang w:val="en-US" w:eastAsia="zh-CN"/>
        </w:rPr>
        <w:t xml:space="preserve"> 用人单位用人需求分析 </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用人单位对毕业生的评价与反馈</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用人单位对学校的评价与反馈</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 xml:space="preserve">第十章 </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21</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23</w:t>
      </w:r>
      <w:r>
        <w:rPr>
          <w:rFonts w:ascii="仿宋_GB2312" w:eastAsia="仿宋_GB2312"/>
          <w:b/>
          <w:sz w:val="28"/>
          <w:szCs w:val="28"/>
          <w:highlight w:val="none"/>
          <w:lang w:val="ru-RU"/>
        </w:rPr>
        <w:t>届毕业生就业发展趋势</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2021-2023届毕业生毕业去向落实率变化趋势</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二</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2021-2023届毕业生升学人数变化趋势</w:t>
      </w:r>
    </w:p>
    <w:p>
      <w:pPr>
        <w:rPr>
          <w:rFonts w:hint="eastAsia"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2021-2023届毕业生自主创业人数变化趋势</w:t>
      </w:r>
    </w:p>
    <w:p>
      <w:pPr>
        <w:rPr>
          <w:rFonts w:hint="default" w:ascii="仿宋_GB2312" w:eastAsia="仿宋_GB2312"/>
          <w:b/>
          <w:sz w:val="28"/>
          <w:szCs w:val="28"/>
          <w:highlight w:val="none"/>
          <w:lang w:val="en-US" w:eastAsia="zh-CN"/>
        </w:rPr>
      </w:pPr>
      <w:r>
        <w:rPr>
          <w:rFonts w:hint="eastAsia" w:ascii="仿宋_GB2312" w:eastAsia="仿宋_GB2312"/>
          <w:b/>
          <w:sz w:val="28"/>
          <w:szCs w:val="28"/>
          <w:highlight w:val="none"/>
          <w:lang w:val="en-US" w:eastAsia="zh-CN"/>
        </w:rPr>
        <w:t xml:space="preserve">第十一章 </w:t>
      </w:r>
      <w:r>
        <w:rPr>
          <w:rFonts w:ascii="仿宋_GB2312" w:eastAsia="仿宋_GB2312"/>
          <w:b/>
          <w:sz w:val="28"/>
          <w:szCs w:val="28"/>
          <w:highlight w:val="none"/>
          <w:lang w:val="ru-RU"/>
        </w:rPr>
        <w:t>20</w:t>
      </w:r>
      <w:r>
        <w:rPr>
          <w:rFonts w:hint="eastAsia" w:ascii="仿宋_GB2312" w:eastAsia="仿宋_GB2312"/>
          <w:b/>
          <w:sz w:val="28"/>
          <w:szCs w:val="28"/>
          <w:highlight w:val="none"/>
          <w:lang w:val="en-US" w:eastAsia="zh-CN"/>
        </w:rPr>
        <w:t>23</w:t>
      </w:r>
      <w:r>
        <w:rPr>
          <w:rFonts w:ascii="仿宋_GB2312" w:eastAsia="仿宋_GB2312"/>
          <w:b/>
          <w:sz w:val="28"/>
          <w:szCs w:val="28"/>
          <w:highlight w:val="none"/>
          <w:lang w:val="ru-RU"/>
        </w:rPr>
        <w:t>届毕业生就业</w:t>
      </w:r>
      <w:r>
        <w:rPr>
          <w:rFonts w:hint="eastAsia" w:ascii="仿宋_GB2312" w:eastAsia="仿宋_GB2312"/>
          <w:b/>
          <w:sz w:val="28"/>
          <w:szCs w:val="28"/>
          <w:highlight w:val="none"/>
          <w:lang w:val="en-US" w:eastAsia="zh-CN"/>
        </w:rPr>
        <w:t>工作举措</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rPr>
        <w:t xml:space="preserve">一、 </w:t>
      </w:r>
      <w:r>
        <w:rPr>
          <w:rFonts w:hint="eastAsia" w:ascii="仿宋_GB2312" w:eastAsia="仿宋_GB2312"/>
          <w:b w:val="0"/>
          <w:bCs/>
          <w:sz w:val="28"/>
          <w:szCs w:val="28"/>
          <w:highlight w:val="none"/>
          <w:lang w:val="en-US" w:eastAsia="zh-CN"/>
        </w:rPr>
        <w:t>始终把政治建设摆在首位，坚决做到“两个维护”</w:t>
      </w:r>
    </w:p>
    <w:p>
      <w:pPr>
        <w:rPr>
          <w:rFonts w:hint="default" w:ascii="仿宋_GB2312" w:eastAsia="仿宋_GB2312"/>
          <w:b w:val="0"/>
          <w:bCs/>
          <w:sz w:val="28"/>
          <w:szCs w:val="28"/>
          <w:highlight w:val="none"/>
          <w:lang w:val="en-US"/>
        </w:rPr>
      </w:pPr>
      <w:r>
        <w:rPr>
          <w:rFonts w:hint="eastAsia" w:ascii="仿宋_GB2312" w:eastAsia="仿宋_GB2312"/>
          <w:b w:val="0"/>
          <w:bCs/>
          <w:sz w:val="28"/>
          <w:szCs w:val="28"/>
          <w:highlight w:val="none"/>
          <w:lang w:val="en-US" w:eastAsia="zh-CN"/>
        </w:rPr>
        <w:t>二、 领导重视，全力保障</w:t>
      </w:r>
    </w:p>
    <w:p>
      <w:pPr>
        <w:rPr>
          <w:rFonts w:hint="default" w:ascii="仿宋_GB2312" w:eastAsia="仿宋_GB2312"/>
          <w:b w:val="0"/>
          <w:bCs/>
          <w:sz w:val="28"/>
          <w:szCs w:val="28"/>
          <w:highlight w:val="none"/>
          <w:lang w:val="en-US" w:eastAsia="zh-CN"/>
        </w:rPr>
      </w:pPr>
      <w:r>
        <w:rPr>
          <w:rFonts w:hint="eastAsia" w:ascii="仿宋_GB2312" w:eastAsia="仿宋_GB2312"/>
          <w:b w:val="0"/>
          <w:bCs/>
          <w:sz w:val="28"/>
          <w:szCs w:val="28"/>
          <w:highlight w:val="none"/>
          <w:lang w:val="en-US" w:eastAsia="zh-CN"/>
        </w:rPr>
        <w:t>三</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齐心协力，推进构建高质量就业指导服务体系</w:t>
      </w:r>
    </w:p>
    <w:p>
      <w:pPr>
        <w:rPr>
          <w:sz w:val="32"/>
          <w:szCs w:val="32"/>
          <w:lang w:val="ru-RU"/>
        </w:rPr>
      </w:pPr>
      <w:r>
        <w:rPr>
          <w:rFonts w:hint="eastAsia" w:ascii="仿宋_GB2312" w:eastAsia="仿宋_GB2312"/>
          <w:b w:val="0"/>
          <w:bCs/>
          <w:sz w:val="28"/>
          <w:szCs w:val="28"/>
          <w:highlight w:val="none"/>
          <w:lang w:val="en-US" w:eastAsia="zh-CN"/>
        </w:rPr>
        <w:t>四</w:t>
      </w:r>
      <w:r>
        <w:rPr>
          <w:rFonts w:hint="eastAsia" w:ascii="仿宋_GB2312" w:eastAsia="仿宋_GB2312"/>
          <w:b w:val="0"/>
          <w:bCs/>
          <w:sz w:val="28"/>
          <w:szCs w:val="28"/>
          <w:highlight w:val="none"/>
        </w:rPr>
        <w:t xml:space="preserve">、 </w:t>
      </w:r>
      <w:r>
        <w:rPr>
          <w:rFonts w:hint="eastAsia" w:ascii="仿宋_GB2312" w:eastAsia="仿宋_GB2312"/>
          <w:b w:val="0"/>
          <w:bCs/>
          <w:sz w:val="28"/>
          <w:szCs w:val="28"/>
          <w:highlight w:val="none"/>
          <w:lang w:val="en-US" w:eastAsia="zh-CN"/>
        </w:rPr>
        <w:t>落实政策，精准帮扶特殊群体就业创业</w:t>
      </w: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ind w:firstLine="720" w:firstLineChars="200"/>
        <w:jc w:val="center"/>
        <w:rPr>
          <w:sz w:val="36"/>
          <w:szCs w:val="36"/>
          <w:lang w:val="ru-RU"/>
        </w:rPr>
      </w:pPr>
    </w:p>
    <w:p>
      <w:pPr>
        <w:widowControl/>
        <w:spacing w:line="360" w:lineRule="auto"/>
        <w:jc w:val="left"/>
        <w:rPr>
          <w:sz w:val="36"/>
          <w:szCs w:val="36"/>
          <w:lang w:val="ru-RU"/>
        </w:rPr>
      </w:pPr>
    </w:p>
    <w:p>
      <w:pPr>
        <w:pStyle w:val="8"/>
        <w:rPr>
          <w:sz w:val="36"/>
          <w:szCs w:val="36"/>
          <w:lang w:val="ru-RU"/>
        </w:rPr>
      </w:pPr>
    </w:p>
    <w:p>
      <w:pPr>
        <w:rPr>
          <w:sz w:val="36"/>
          <w:szCs w:val="36"/>
          <w:lang w:val="ru-RU"/>
        </w:rPr>
      </w:pPr>
    </w:p>
    <w:p>
      <w:pPr>
        <w:pStyle w:val="8"/>
        <w:rPr>
          <w:sz w:val="36"/>
          <w:szCs w:val="36"/>
          <w:lang w:val="ru-RU"/>
        </w:rPr>
      </w:pPr>
    </w:p>
    <w:p>
      <w:pPr>
        <w:rPr>
          <w:sz w:val="36"/>
          <w:szCs w:val="36"/>
          <w:lang w:val="ru-RU"/>
        </w:rPr>
      </w:pPr>
    </w:p>
    <w:p>
      <w:pPr>
        <w:pStyle w:val="10"/>
        <w:rPr>
          <w:lang w:val="ru-RU"/>
        </w:rPr>
      </w:pPr>
    </w:p>
    <w:p>
      <w:pPr>
        <w:widowControl/>
        <w:spacing w:line="360" w:lineRule="auto"/>
        <w:jc w:val="both"/>
        <w:rPr>
          <w:sz w:val="36"/>
          <w:szCs w:val="36"/>
          <w:highlight w:val="none"/>
          <w:lang w:val="ru-RU"/>
        </w:rPr>
      </w:pPr>
    </w:p>
    <w:p>
      <w:pPr>
        <w:widowControl/>
        <w:spacing w:line="360" w:lineRule="auto"/>
        <w:jc w:val="center"/>
        <w:rPr>
          <w:sz w:val="36"/>
          <w:szCs w:val="36"/>
          <w:highlight w:val="none"/>
          <w:lang w:val="ru-RU"/>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pPr>
        <w:widowControl/>
        <w:spacing w:line="360" w:lineRule="auto"/>
        <w:jc w:val="center"/>
        <w:rPr>
          <w:rFonts w:hint="eastAsia"/>
          <w:highlight w:val="none"/>
          <w:lang w:val="ru-RU"/>
        </w:rPr>
      </w:pPr>
      <w:r>
        <w:rPr>
          <w:sz w:val="36"/>
          <w:szCs w:val="36"/>
          <w:highlight w:val="none"/>
          <w:lang w:val="ru-RU"/>
        </w:rPr>
        <w:t>学</w:t>
      </w:r>
      <w:r>
        <w:rPr>
          <w:rFonts w:hint="eastAsia"/>
          <w:sz w:val="36"/>
          <w:szCs w:val="36"/>
          <w:highlight w:val="none"/>
          <w:lang w:val="en-US" w:eastAsia="zh-CN"/>
        </w:rPr>
        <w:t>校</w:t>
      </w:r>
      <w:r>
        <w:rPr>
          <w:rFonts w:hint="eastAsia"/>
          <w:sz w:val="36"/>
          <w:szCs w:val="36"/>
          <w:highlight w:val="none"/>
          <w:lang w:val="ru-RU"/>
        </w:rPr>
        <w:t>概况</w:t>
      </w:r>
    </w:p>
    <w:p>
      <w:pPr>
        <w:numPr>
          <w:ilvl w:val="0"/>
          <w:numId w:val="0"/>
        </w:numPr>
        <w:ind w:firstLine="560"/>
        <w:jc w:val="left"/>
        <w:rPr>
          <w:rFonts w:hint="eastAsia" w:cs="Times New Roman"/>
          <w:sz w:val="28"/>
          <w:szCs w:val="28"/>
          <w:lang w:val="en-US" w:eastAsia="zh-CN"/>
        </w:rPr>
      </w:pPr>
      <w:r>
        <w:rPr>
          <w:rFonts w:hint="eastAsia" w:cs="Times New Roman"/>
          <w:sz w:val="28"/>
          <w:szCs w:val="28"/>
          <w:lang w:val="en-US" w:eastAsia="zh-CN"/>
        </w:rPr>
        <w:t>邵阳职业技术学院坐落于邵阳市大祥区学院路，2003年经湖南省人民政府批准成立、国家教育部备案、邵阳市人民政府主办主管的全日制公办普通高等职业院校，是湖南省“楚怡”高水平高职学校建设单位、湖南省首批“楚怡工匠计划”职业本科专业试点学校、全国工商联产教融合实训示范基地、全国新型职业农民培训示范基地、“坦桑尼亚国家职业标准开发项目”认证单位。近年来，学校先后获评湖南省文明高校、湖南省文明校园、湖南省现代大学制度建设先进高校、湖南省铸牢中华民族共同体意识教育示范校、湖南省高等学校就业先进单位、湖南省乡村振兴人才培养优质高校、湖南省高校征兵工作先进单位、湖南省职业技能鉴定先进单位、湖南省贫困地区劳动力转移培训先进单位、湖南省大学生“三下乡”社会实践活动先进单位、邵阳市公众满意学校、邵阳市党风廉政建设先进单位、邵阳市民族团结进步教育示范单位等荣誉。</w:t>
      </w:r>
    </w:p>
    <w:p>
      <w:pPr>
        <w:numPr>
          <w:ilvl w:val="0"/>
          <w:numId w:val="0"/>
        </w:numPr>
        <w:ind w:firstLine="560"/>
        <w:jc w:val="left"/>
        <w:rPr>
          <w:rFonts w:hint="eastAsia" w:cs="Times New Roman"/>
          <w:sz w:val="28"/>
          <w:szCs w:val="28"/>
          <w:lang w:val="en-US" w:eastAsia="zh-CN"/>
        </w:rPr>
      </w:pPr>
      <w:r>
        <w:rPr>
          <w:rFonts w:hint="eastAsia" w:cs="Times New Roman"/>
          <w:sz w:val="28"/>
          <w:szCs w:val="28"/>
          <w:lang w:val="en-US" w:eastAsia="zh-CN"/>
        </w:rPr>
        <w:t>学校占地面积426880m2，总建筑面积203565m2，教学仪器设备总价值8500余万元。现有教职工478人，“双师型”教师198人。在籍在校学生12000余人，其中，本科学生100人。</w:t>
      </w:r>
    </w:p>
    <w:p>
      <w:pPr>
        <w:numPr>
          <w:ilvl w:val="0"/>
          <w:numId w:val="0"/>
        </w:numPr>
        <w:ind w:firstLine="560"/>
        <w:jc w:val="left"/>
        <w:rPr>
          <w:rFonts w:hint="eastAsia" w:cs="Times New Roman"/>
          <w:sz w:val="28"/>
          <w:szCs w:val="28"/>
          <w:lang w:val="en-US" w:eastAsia="zh-CN"/>
        </w:rPr>
      </w:pPr>
      <w:r>
        <w:rPr>
          <w:rFonts w:hint="eastAsia" w:cs="Times New Roman"/>
          <w:sz w:val="28"/>
          <w:szCs w:val="28"/>
          <w:lang w:val="en-US" w:eastAsia="zh-CN"/>
        </w:rPr>
        <w:t>学校设有电梯工程学院、汽车与智能制造学院、财会工商学院、生物工程学院、建筑工程学院、信息技术学院、艺术创意学院、继续教育与培训学院、马克思主义学院和公共课部等10个教学院（部），开设机电一体化技术、电梯工程技术、计算机应用技术、动物医学、工业机器人技术、服装与服饰设计、大数据与会计等23个专业，其中1个本科专业。</w:t>
      </w:r>
    </w:p>
    <w:p>
      <w:pPr>
        <w:numPr>
          <w:ilvl w:val="0"/>
          <w:numId w:val="0"/>
        </w:numPr>
        <w:ind w:firstLine="560"/>
        <w:jc w:val="left"/>
        <w:rPr>
          <w:rFonts w:hint="eastAsia" w:cs="Times New Roman"/>
          <w:sz w:val="28"/>
          <w:szCs w:val="28"/>
          <w:lang w:val="en-US" w:eastAsia="zh-CN"/>
        </w:rPr>
      </w:pPr>
      <w:r>
        <w:rPr>
          <w:rFonts w:hint="eastAsia" w:cs="Times New Roman"/>
          <w:sz w:val="28"/>
          <w:szCs w:val="28"/>
          <w:lang w:val="en-US" w:eastAsia="zh-CN"/>
        </w:rPr>
        <w:t>学校与大型企业共建5个产业学院。先后获得国家重点支持专业建设项目9个，省级重点项目60项。有教育部认定的高职骨干专业2个，高职技术协同创新技术中心1个，生产性实习实训基地1个。与迅达（中国）电梯、通力电梯、比亚迪汽车、三一重工等行业头部企业共建校内外实习实训基地60余个。</w:t>
      </w:r>
    </w:p>
    <w:p>
      <w:pPr>
        <w:numPr>
          <w:ilvl w:val="0"/>
          <w:numId w:val="0"/>
        </w:numPr>
        <w:ind w:firstLine="560"/>
        <w:jc w:val="left"/>
        <w:rPr>
          <w:rFonts w:hint="eastAsia" w:cs="Times New Roman"/>
          <w:sz w:val="28"/>
          <w:szCs w:val="28"/>
          <w:lang w:val="en-US" w:eastAsia="zh-CN"/>
        </w:rPr>
      </w:pPr>
      <w:r>
        <w:rPr>
          <w:rFonts w:hint="eastAsia" w:cs="Times New Roman"/>
          <w:sz w:val="28"/>
          <w:szCs w:val="28"/>
          <w:lang w:val="en-US" w:eastAsia="zh-CN"/>
        </w:rPr>
        <w:t>学校教育教学质量不断提升，省内外影响力大幅提高。“十三五”以来，学校获得教学大赛国家级奖42项，省级奖489项；2022年，学校三大国赛获奖排名列全国第294名，湖南省第19名。</w:t>
      </w:r>
    </w:p>
    <w:p>
      <w:pPr>
        <w:numPr>
          <w:ilvl w:val="0"/>
          <w:numId w:val="0"/>
        </w:numPr>
        <w:ind w:firstLine="560"/>
        <w:jc w:val="left"/>
        <w:rPr>
          <w:rFonts w:hint="eastAsia" w:cs="Times New Roman"/>
          <w:sz w:val="28"/>
          <w:szCs w:val="28"/>
          <w:lang w:val="en-US" w:eastAsia="zh-CN"/>
        </w:rPr>
      </w:pPr>
      <w:r>
        <w:rPr>
          <w:rFonts w:hint="eastAsia" w:cs="Times New Roman"/>
          <w:sz w:val="28"/>
          <w:szCs w:val="28"/>
          <w:lang w:val="en-US" w:eastAsia="zh-CN"/>
        </w:rPr>
        <w:t>学校坚持“立德树人”根本任务，秉承“明德、笃学、强能”的校训，践行“把学校当家园、把学生当亲人、把育人当事业”的邵职精神，坚持“质量是生命线，安全是底线，廉政是高压线”的管理理念，全面实施“创新发展、特色发展、错位发展”战略，服务区域经济社会发展和人民美好生活需要的能力不断提升，在社会上有较强的知名度、美誉度、公信度，影响力、吸引力不断提升。</w:t>
      </w:r>
    </w:p>
    <w:p>
      <w:pPr>
        <w:numPr>
          <w:ilvl w:val="0"/>
          <w:numId w:val="0"/>
        </w:numPr>
        <w:ind w:firstLine="560"/>
        <w:jc w:val="left"/>
        <w:rPr>
          <w:rFonts w:hint="eastAsia"/>
          <w:lang w:val="ru-RU"/>
        </w:rPr>
      </w:pPr>
      <w:r>
        <w:rPr>
          <w:rFonts w:hint="eastAsia" w:cs="Times New Roman"/>
          <w:sz w:val="28"/>
          <w:szCs w:val="28"/>
          <w:lang w:val="en-US" w:eastAsia="zh-CN"/>
        </w:rPr>
        <w:t>学校正站在新的历史起点，坚持以习近平新时代中国特色社会主义思想为指导，致力于建设成为湘西南地区紧密对接区域经济与社会发展、集团化办学优势明显、科研与社会服务能力较强、国际化人才培养有成效、满足当地经济社会发展和人民美好生活需要并有较强影响力的区域强校，扎实推进“党建质量提升、队伍素质提升、治理能力提升、办学条件提升”，不断实现学校高质量发展，为社会主义现代化建设培养更多高素质技能人才贡献力量。</w:t>
      </w:r>
    </w:p>
    <w:p>
      <w:pPr>
        <w:numPr>
          <w:ilvl w:val="0"/>
          <w:numId w:val="1"/>
        </w:numPr>
        <w:jc w:val="center"/>
        <w:rPr>
          <w:rFonts w:hint="default"/>
          <w:sz w:val="36"/>
          <w:szCs w:val="36"/>
          <w:highlight w:val="none"/>
          <w:lang w:val="en-US" w:eastAsia="zh-CN"/>
        </w:rPr>
      </w:pPr>
      <w:r>
        <w:rPr>
          <w:rFonts w:hint="eastAsia"/>
          <w:sz w:val="36"/>
          <w:szCs w:val="36"/>
          <w:highlight w:val="none"/>
          <w:lang w:val="en-US" w:eastAsia="zh-CN"/>
        </w:rPr>
        <w:t xml:space="preserve"> 毕业生生源及毕业去向</w:t>
      </w:r>
    </w:p>
    <w:p>
      <w:pPr>
        <w:ind w:firstLine="560"/>
        <w:rPr>
          <w:rFonts w:hint="eastAsia"/>
          <w:sz w:val="28"/>
          <w:szCs w:val="28"/>
          <w:highlight w:val="none"/>
          <w:lang w:val="en-US" w:eastAsia="zh-CN"/>
        </w:rPr>
      </w:pPr>
      <w:r>
        <w:rPr>
          <w:rFonts w:hint="eastAsia"/>
          <w:sz w:val="28"/>
          <w:szCs w:val="28"/>
          <w:highlight w:val="none"/>
          <w:lang w:val="en-US" w:eastAsia="zh-CN"/>
        </w:rPr>
        <w:t>毕业生就业基本情况主要从毕业生规模及结构、毕业生就业类型两个方面进行分析。</w:t>
      </w:r>
    </w:p>
    <w:p>
      <w:pPr>
        <w:numPr>
          <w:ilvl w:val="0"/>
          <w:numId w:val="2"/>
        </w:numPr>
        <w:ind w:left="0" w:leftChars="0" w:firstLineChars="0"/>
        <w:rPr>
          <w:rFonts w:hint="eastAsia"/>
          <w:sz w:val="28"/>
          <w:szCs w:val="28"/>
          <w:highlight w:val="none"/>
          <w:lang w:val="en-US" w:eastAsia="zh-CN"/>
        </w:rPr>
      </w:pPr>
      <w:r>
        <w:rPr>
          <w:rFonts w:hint="eastAsia"/>
          <w:sz w:val="28"/>
          <w:szCs w:val="28"/>
          <w:highlight w:val="none"/>
          <w:lang w:val="en-US" w:eastAsia="zh-CN"/>
        </w:rPr>
        <w:t>毕业生规模及结构</w:t>
      </w:r>
    </w:p>
    <w:p>
      <w:pPr>
        <w:ind w:firstLine="0" w:firstLineChars="0"/>
        <w:rPr>
          <w:rFonts w:hint="eastAsia" w:eastAsia="宋体"/>
          <w:sz w:val="28"/>
          <w:szCs w:val="28"/>
          <w:highlight w:val="none"/>
          <w:lang w:val="en-US" w:eastAsia="zh-CN"/>
        </w:rPr>
      </w:pPr>
      <w:r>
        <w:rPr>
          <w:rFonts w:hint="eastAsia"/>
          <w:sz w:val="28"/>
          <w:szCs w:val="28"/>
          <w:highlight w:val="none"/>
          <w:lang w:val="ru-RU"/>
        </w:rPr>
        <w:t>（一）毕业生规模</w:t>
      </w:r>
      <w:r>
        <w:rPr>
          <w:rFonts w:hint="eastAsia"/>
          <w:sz w:val="28"/>
          <w:szCs w:val="28"/>
          <w:highlight w:val="none"/>
          <w:lang w:val="en-US" w:eastAsia="zh-CN"/>
        </w:rPr>
        <w:t>及</w:t>
      </w:r>
      <w:r>
        <w:rPr>
          <w:rFonts w:hint="eastAsia"/>
          <w:sz w:val="28"/>
          <w:szCs w:val="28"/>
          <w:highlight w:val="none"/>
          <w:lang w:val="ru-RU"/>
        </w:rPr>
        <w:t>性别</w:t>
      </w:r>
      <w:r>
        <w:rPr>
          <w:rFonts w:hint="eastAsia"/>
          <w:sz w:val="28"/>
          <w:szCs w:val="28"/>
          <w:highlight w:val="none"/>
          <w:lang w:val="en-US" w:eastAsia="zh-CN"/>
        </w:rPr>
        <w:t>分别</w:t>
      </w:r>
    </w:p>
    <w:p>
      <w:pPr>
        <w:ind w:firstLine="560" w:firstLineChars="200"/>
        <w:rPr>
          <w:rFonts w:hint="default" w:eastAsia="宋体"/>
          <w:sz w:val="28"/>
          <w:szCs w:val="28"/>
          <w:highlight w:val="none"/>
          <w:lang w:val="en-US" w:eastAsia="zh-CN"/>
        </w:rPr>
      </w:pPr>
      <w:r>
        <w:rPr>
          <w:rFonts w:hint="eastAsia"/>
          <w:sz w:val="28"/>
          <w:szCs w:val="28"/>
          <w:highlight w:val="none"/>
          <w:lang w:val="en-US" w:eastAsia="zh-CN"/>
        </w:rPr>
        <w:t>2023</w:t>
      </w:r>
      <w:r>
        <w:rPr>
          <w:rFonts w:hint="eastAsia"/>
          <w:sz w:val="28"/>
          <w:szCs w:val="28"/>
          <w:highlight w:val="none"/>
          <w:lang w:val="ru-RU"/>
        </w:rPr>
        <w:t>届毕业生共</w:t>
      </w:r>
      <w:r>
        <w:rPr>
          <w:rFonts w:hint="eastAsia"/>
          <w:sz w:val="28"/>
          <w:szCs w:val="28"/>
          <w:highlight w:val="none"/>
          <w:lang w:val="en-US" w:eastAsia="zh-CN"/>
        </w:rPr>
        <w:t>4022</w:t>
      </w:r>
      <w:r>
        <w:rPr>
          <w:rFonts w:hint="eastAsia"/>
          <w:sz w:val="28"/>
          <w:szCs w:val="28"/>
          <w:highlight w:val="none"/>
          <w:lang w:val="ru-RU"/>
        </w:rPr>
        <w:t>人，</w:t>
      </w:r>
      <w:r>
        <w:rPr>
          <w:rFonts w:hint="eastAsia"/>
          <w:sz w:val="28"/>
          <w:szCs w:val="28"/>
          <w:highlight w:val="none"/>
          <w:lang w:val="en-US" w:eastAsia="zh-CN"/>
        </w:rPr>
        <w:t>男女比2.15:1，</w:t>
      </w:r>
      <w:r>
        <w:rPr>
          <w:rFonts w:hint="eastAsia"/>
          <w:sz w:val="28"/>
          <w:szCs w:val="28"/>
          <w:highlight w:val="none"/>
          <w:lang w:val="ru-RU"/>
        </w:rPr>
        <w:t>其中男性毕业</w:t>
      </w:r>
      <w:r>
        <w:rPr>
          <w:rFonts w:hint="eastAsia"/>
          <w:sz w:val="28"/>
          <w:szCs w:val="28"/>
          <w:highlight w:val="none"/>
          <w:lang w:val="en-US" w:eastAsia="zh-CN"/>
        </w:rPr>
        <w:t xml:space="preserve">生2747   </w:t>
      </w:r>
      <w:r>
        <w:rPr>
          <w:rFonts w:hint="eastAsia"/>
          <w:sz w:val="28"/>
          <w:szCs w:val="28"/>
          <w:highlight w:val="none"/>
          <w:lang w:val="ru-RU"/>
        </w:rPr>
        <w:t>人，占</w:t>
      </w:r>
      <w:r>
        <w:rPr>
          <w:rFonts w:hint="eastAsia"/>
          <w:sz w:val="28"/>
          <w:szCs w:val="28"/>
          <w:highlight w:val="none"/>
          <w:lang w:val="en-US" w:eastAsia="zh-CN"/>
        </w:rPr>
        <w:t>比68.30</w:t>
      </w:r>
      <w:r>
        <w:rPr>
          <w:sz w:val="28"/>
          <w:szCs w:val="28"/>
          <w:highlight w:val="none"/>
        </w:rPr>
        <w:t>%</w:t>
      </w:r>
      <w:r>
        <w:rPr>
          <w:rFonts w:hint="eastAsia"/>
          <w:sz w:val="28"/>
          <w:szCs w:val="28"/>
          <w:highlight w:val="none"/>
        </w:rPr>
        <w:t>；女性毕业生</w:t>
      </w:r>
      <w:r>
        <w:rPr>
          <w:rFonts w:hint="eastAsia"/>
          <w:sz w:val="28"/>
          <w:szCs w:val="28"/>
          <w:highlight w:val="none"/>
          <w:lang w:val="en-US" w:eastAsia="zh-CN"/>
        </w:rPr>
        <w:t>1275</w:t>
      </w:r>
      <w:r>
        <w:rPr>
          <w:rFonts w:hint="eastAsia"/>
          <w:sz w:val="28"/>
          <w:szCs w:val="28"/>
          <w:highlight w:val="none"/>
        </w:rPr>
        <w:t>人，占</w:t>
      </w:r>
      <w:r>
        <w:rPr>
          <w:rFonts w:hint="eastAsia"/>
          <w:sz w:val="28"/>
          <w:szCs w:val="28"/>
          <w:highlight w:val="none"/>
          <w:lang w:val="en-US" w:eastAsia="zh-CN"/>
        </w:rPr>
        <w:t>比31.70</w:t>
      </w:r>
      <w:r>
        <w:rPr>
          <w:sz w:val="28"/>
          <w:szCs w:val="28"/>
          <w:highlight w:val="none"/>
        </w:rPr>
        <w:t>%</w:t>
      </w:r>
      <w:r>
        <w:rPr>
          <w:rFonts w:hint="eastAsia"/>
          <w:sz w:val="28"/>
          <w:szCs w:val="28"/>
          <w:highlight w:val="none"/>
        </w:rPr>
        <w:t>。</w:t>
      </w:r>
    </w:p>
    <w:p>
      <w:pPr>
        <w:rPr>
          <w:sz w:val="28"/>
          <w:szCs w:val="28"/>
          <w:highlight w:val="none"/>
        </w:rPr>
      </w:pPr>
      <w:r>
        <w:rPr>
          <w:sz w:val="28"/>
          <w:szCs w:val="28"/>
          <w:highlight w:val="none"/>
        </w:rPr>
        <w:drawing>
          <wp:inline distT="0" distB="0" distL="0" distR="0">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jc w:val="center"/>
        <w:rPr>
          <w:rFonts w:hint="eastAsia"/>
          <w:szCs w:val="21"/>
          <w:highlight w:val="none"/>
          <w:lang w:val="ru-RU"/>
        </w:rPr>
      </w:pPr>
      <w:r>
        <w:rPr>
          <w:rFonts w:hint="eastAsia"/>
          <w:szCs w:val="21"/>
          <w:highlight w:val="none"/>
          <w:lang w:val="ru-RU"/>
        </w:rPr>
        <w:t>图</w:t>
      </w:r>
      <w:r>
        <w:rPr>
          <w:szCs w:val="21"/>
          <w:highlight w:val="none"/>
          <w:lang w:val="ru-RU"/>
        </w:rPr>
        <w:t xml:space="preserve"> 1-1</w:t>
      </w:r>
      <w:r>
        <w:rPr>
          <w:rFonts w:hint="eastAsia"/>
          <w:szCs w:val="21"/>
          <w:highlight w:val="none"/>
          <w:lang w:val="en-US" w:eastAsia="zh-CN"/>
        </w:rPr>
        <w:t xml:space="preserve"> </w:t>
      </w:r>
      <w:r>
        <w:rPr>
          <w:szCs w:val="21"/>
          <w:highlight w:val="none"/>
          <w:lang w:val="ru-RU"/>
        </w:rPr>
        <w:t xml:space="preserve"> </w:t>
      </w:r>
      <w:r>
        <w:rPr>
          <w:rFonts w:hint="eastAsia"/>
          <w:szCs w:val="21"/>
          <w:highlight w:val="none"/>
          <w:lang w:val="en-US" w:eastAsia="zh-CN"/>
        </w:rPr>
        <w:t>2023</w:t>
      </w:r>
      <w:r>
        <w:rPr>
          <w:rFonts w:hint="eastAsia"/>
          <w:szCs w:val="21"/>
          <w:highlight w:val="none"/>
          <w:lang w:val="ru-RU"/>
        </w:rPr>
        <w:t>届毕业生规模与性别结构</w:t>
      </w:r>
    </w:p>
    <w:p>
      <w:pPr>
        <w:pStyle w:val="6"/>
        <w:rPr>
          <w:lang w:val="ru-RU"/>
        </w:rPr>
      </w:pPr>
    </w:p>
    <w:p>
      <w:pPr>
        <w:numPr>
          <w:ilvl w:val="0"/>
          <w:numId w:val="3"/>
        </w:numPr>
        <w:ind w:firstLine="0" w:firstLineChars="0"/>
        <w:jc w:val="left"/>
        <w:rPr>
          <w:rFonts w:hint="eastAsia"/>
          <w:sz w:val="28"/>
          <w:szCs w:val="28"/>
          <w:highlight w:val="none"/>
          <w:lang w:val="en-US" w:eastAsia="zh-CN"/>
        </w:rPr>
      </w:pPr>
      <w:r>
        <w:rPr>
          <w:rFonts w:hint="eastAsia"/>
          <w:sz w:val="28"/>
          <w:szCs w:val="28"/>
          <w:highlight w:val="none"/>
          <w:lang w:val="en-US" w:eastAsia="zh-CN"/>
        </w:rPr>
        <w:t>毕业生结构分布</w:t>
      </w:r>
    </w:p>
    <w:p>
      <w:pPr>
        <w:numPr>
          <w:ilvl w:val="0"/>
          <w:numId w:val="0"/>
        </w:numPr>
        <w:ind w:firstLine="560"/>
        <w:jc w:val="left"/>
        <w:rPr>
          <w:rFonts w:hint="eastAsia"/>
          <w:sz w:val="28"/>
          <w:szCs w:val="28"/>
          <w:highlight w:val="none"/>
          <w:lang w:val="en-US" w:eastAsia="zh-CN"/>
        </w:rPr>
      </w:pPr>
      <w:r>
        <w:rPr>
          <w:rFonts w:hint="eastAsia"/>
          <w:sz w:val="28"/>
          <w:szCs w:val="28"/>
          <w:highlight w:val="none"/>
          <w:lang w:val="en-US" w:eastAsia="zh-CN"/>
        </w:rPr>
        <w:t>2023届毕业生结构分别从毕业生专业结构、省份结构、民族结构、政治面貌结构和困难生类别结构五个方面进行分析。</w:t>
      </w:r>
    </w:p>
    <w:p>
      <w:pPr>
        <w:numPr>
          <w:ilvl w:val="0"/>
          <w:numId w:val="0"/>
        </w:numPr>
        <w:ind w:firstLine="0"/>
        <w:jc w:val="left"/>
        <w:rPr>
          <w:rFonts w:hint="default"/>
          <w:sz w:val="28"/>
          <w:szCs w:val="28"/>
          <w:highlight w:val="none"/>
          <w:lang w:val="en-US" w:eastAsia="zh-CN"/>
        </w:rPr>
      </w:pPr>
      <w:r>
        <w:rPr>
          <w:rFonts w:hint="eastAsia"/>
          <w:sz w:val="28"/>
          <w:szCs w:val="28"/>
          <w:highlight w:val="none"/>
          <w:lang w:val="en-US" w:eastAsia="zh-CN"/>
        </w:rPr>
        <w:t>1.专业结构</w:t>
      </w:r>
    </w:p>
    <w:p>
      <w:pPr>
        <w:ind w:firstLine="560" w:firstLineChars="200"/>
        <w:jc w:val="left"/>
        <w:rPr>
          <w:sz w:val="28"/>
          <w:szCs w:val="28"/>
          <w:highlight w:val="none"/>
          <w:lang w:val="ru-RU"/>
        </w:rPr>
      </w:pPr>
      <w:r>
        <w:rPr>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届毕业生分布在</w:t>
      </w:r>
      <w:r>
        <w:rPr>
          <w:rFonts w:hint="eastAsia"/>
          <w:sz w:val="28"/>
          <w:szCs w:val="28"/>
          <w:highlight w:val="none"/>
          <w:lang w:val="en-US" w:eastAsia="zh-CN"/>
        </w:rPr>
        <w:t>7</w:t>
      </w:r>
      <w:r>
        <w:rPr>
          <w:rFonts w:hint="eastAsia"/>
          <w:sz w:val="28"/>
          <w:szCs w:val="28"/>
          <w:highlight w:val="none"/>
          <w:lang w:val="ru-RU"/>
        </w:rPr>
        <w:t>个</w:t>
      </w:r>
      <w:r>
        <w:rPr>
          <w:rFonts w:hint="eastAsia"/>
          <w:sz w:val="28"/>
          <w:szCs w:val="28"/>
          <w:highlight w:val="none"/>
          <w:lang w:val="en-US" w:eastAsia="zh-CN"/>
        </w:rPr>
        <w:t>二级学院</w:t>
      </w:r>
      <w:r>
        <w:rPr>
          <w:rFonts w:hint="eastAsia"/>
          <w:sz w:val="28"/>
          <w:szCs w:val="28"/>
          <w:highlight w:val="none"/>
          <w:lang w:val="ru-RU"/>
        </w:rPr>
        <w:t>，</w:t>
      </w:r>
      <w:r>
        <w:rPr>
          <w:rFonts w:hint="eastAsia"/>
          <w:sz w:val="28"/>
          <w:szCs w:val="28"/>
          <w:highlight w:val="none"/>
          <w:lang w:val="en-US" w:eastAsia="zh-CN"/>
        </w:rPr>
        <w:t>毕业生人数排名前三的学院为：财会工商学院</w:t>
      </w:r>
      <w:r>
        <w:rPr>
          <w:rFonts w:hint="eastAsia"/>
          <w:sz w:val="28"/>
          <w:szCs w:val="28"/>
          <w:highlight w:val="none"/>
          <w:lang w:val="ru-RU" w:eastAsia="zh-CN"/>
        </w:rPr>
        <w:t>（</w:t>
      </w:r>
      <w:r>
        <w:rPr>
          <w:rFonts w:hint="eastAsia"/>
          <w:sz w:val="28"/>
          <w:szCs w:val="28"/>
          <w:highlight w:val="none"/>
          <w:lang w:val="en-US" w:eastAsia="zh-CN"/>
        </w:rPr>
        <w:t>745</w:t>
      </w:r>
      <w:r>
        <w:rPr>
          <w:rFonts w:hint="eastAsia"/>
          <w:sz w:val="28"/>
          <w:szCs w:val="28"/>
          <w:highlight w:val="none"/>
          <w:lang w:val="ru-RU"/>
        </w:rPr>
        <w:t>人，占比</w:t>
      </w:r>
      <w:r>
        <w:rPr>
          <w:rFonts w:hint="eastAsia"/>
          <w:sz w:val="28"/>
          <w:szCs w:val="28"/>
          <w:highlight w:val="none"/>
          <w:lang w:val="en-US" w:eastAsia="zh-CN"/>
        </w:rPr>
        <w:t>18.52</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建筑工程学院</w:t>
      </w:r>
      <w:r>
        <w:rPr>
          <w:rFonts w:hint="eastAsia"/>
          <w:sz w:val="28"/>
          <w:szCs w:val="28"/>
          <w:highlight w:val="none"/>
          <w:lang w:val="ru-RU" w:eastAsia="zh-CN"/>
        </w:rPr>
        <w:t>（</w:t>
      </w:r>
      <w:r>
        <w:rPr>
          <w:rFonts w:hint="eastAsia"/>
          <w:sz w:val="28"/>
          <w:szCs w:val="28"/>
          <w:highlight w:val="none"/>
          <w:lang w:val="en-US" w:eastAsia="zh-CN"/>
        </w:rPr>
        <w:t>718</w:t>
      </w:r>
      <w:r>
        <w:rPr>
          <w:rFonts w:hint="eastAsia"/>
          <w:sz w:val="28"/>
          <w:szCs w:val="28"/>
          <w:highlight w:val="none"/>
          <w:lang w:val="ru-RU"/>
        </w:rPr>
        <w:t>人，占比</w:t>
      </w:r>
      <w:r>
        <w:rPr>
          <w:rFonts w:hint="eastAsia"/>
          <w:sz w:val="28"/>
          <w:szCs w:val="28"/>
          <w:highlight w:val="none"/>
          <w:lang w:val="en-US" w:eastAsia="zh-CN"/>
        </w:rPr>
        <w:t>17.85</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艺术创意学院</w:t>
      </w:r>
      <w:r>
        <w:rPr>
          <w:rFonts w:hint="eastAsia"/>
          <w:sz w:val="28"/>
          <w:szCs w:val="28"/>
          <w:highlight w:val="none"/>
          <w:lang w:val="ru-RU" w:eastAsia="zh-CN"/>
        </w:rPr>
        <w:t>（</w:t>
      </w:r>
      <w:r>
        <w:rPr>
          <w:rFonts w:hint="eastAsia"/>
          <w:sz w:val="28"/>
          <w:szCs w:val="28"/>
          <w:highlight w:val="none"/>
          <w:lang w:val="en-US" w:eastAsia="zh-CN"/>
        </w:rPr>
        <w:t>713</w:t>
      </w:r>
      <w:r>
        <w:rPr>
          <w:rFonts w:hint="eastAsia"/>
          <w:sz w:val="28"/>
          <w:szCs w:val="28"/>
          <w:highlight w:val="none"/>
          <w:lang w:val="ru-RU"/>
        </w:rPr>
        <w:t>人，占比</w:t>
      </w:r>
      <w:r>
        <w:rPr>
          <w:rFonts w:hint="eastAsia"/>
          <w:sz w:val="28"/>
          <w:szCs w:val="28"/>
          <w:highlight w:val="none"/>
          <w:lang w:val="en-US" w:eastAsia="zh-CN"/>
        </w:rPr>
        <w:t>17.73</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ru-RU"/>
        </w:rPr>
        <w:t>。</w:t>
      </w:r>
    </w:p>
    <w:p>
      <w:pPr>
        <w:ind w:firstLine="560" w:firstLineChars="200"/>
        <w:jc w:val="left"/>
        <w:rPr>
          <w:sz w:val="28"/>
          <w:szCs w:val="28"/>
          <w:highlight w:val="none"/>
          <w:lang w:val="ru-RU"/>
        </w:rPr>
      </w:pPr>
      <w:r>
        <w:rPr>
          <w:rFonts w:hint="eastAsia"/>
          <w:sz w:val="28"/>
          <w:szCs w:val="28"/>
          <w:highlight w:val="none"/>
          <w:lang w:val="en-US" w:eastAsia="zh-CN"/>
        </w:rPr>
        <w:t>2023</w:t>
      </w:r>
      <w:r>
        <w:rPr>
          <w:rFonts w:hint="eastAsia"/>
          <w:sz w:val="28"/>
          <w:szCs w:val="28"/>
          <w:highlight w:val="none"/>
          <w:lang w:val="ru-RU"/>
        </w:rPr>
        <w:t>届毕业生分布在</w:t>
      </w:r>
      <w:r>
        <w:rPr>
          <w:rFonts w:hint="eastAsia"/>
          <w:sz w:val="28"/>
          <w:szCs w:val="28"/>
          <w:highlight w:val="none"/>
          <w:lang w:val="en-US" w:eastAsia="zh-CN"/>
        </w:rPr>
        <w:t>21</w:t>
      </w:r>
      <w:r>
        <w:rPr>
          <w:rFonts w:hint="eastAsia"/>
          <w:sz w:val="28"/>
          <w:szCs w:val="28"/>
          <w:highlight w:val="none"/>
          <w:lang w:val="ru-RU"/>
        </w:rPr>
        <w:t>个专业中，人数排名前五的分别是</w:t>
      </w:r>
      <w:r>
        <w:rPr>
          <w:rFonts w:hint="eastAsia"/>
          <w:sz w:val="28"/>
          <w:szCs w:val="28"/>
          <w:highlight w:val="none"/>
          <w:lang w:val="en-US" w:eastAsia="zh-CN"/>
        </w:rPr>
        <w:t>建筑工程技术</w:t>
      </w:r>
      <w:r>
        <w:rPr>
          <w:rFonts w:hint="eastAsia"/>
          <w:sz w:val="28"/>
          <w:szCs w:val="28"/>
          <w:highlight w:val="none"/>
          <w:lang w:val="ru-RU"/>
        </w:rPr>
        <w:t>专业（</w:t>
      </w:r>
      <w:r>
        <w:rPr>
          <w:rFonts w:hint="eastAsia"/>
          <w:sz w:val="28"/>
          <w:szCs w:val="28"/>
          <w:highlight w:val="none"/>
          <w:lang w:val="en-US" w:eastAsia="zh-CN"/>
        </w:rPr>
        <w:t>496</w:t>
      </w:r>
      <w:r>
        <w:rPr>
          <w:rFonts w:hint="eastAsia"/>
          <w:sz w:val="28"/>
          <w:szCs w:val="28"/>
          <w:highlight w:val="none"/>
          <w:lang w:val="ru-RU"/>
        </w:rPr>
        <w:t>人</w:t>
      </w:r>
      <w:r>
        <w:rPr>
          <w:rFonts w:hint="eastAsia"/>
          <w:sz w:val="28"/>
          <w:szCs w:val="28"/>
          <w:highlight w:val="none"/>
          <w:lang w:val="ru-RU" w:eastAsia="zh-CN"/>
        </w:rPr>
        <w:t>，</w:t>
      </w:r>
      <w:r>
        <w:rPr>
          <w:rFonts w:hint="eastAsia"/>
          <w:sz w:val="28"/>
          <w:szCs w:val="28"/>
          <w:highlight w:val="none"/>
          <w:lang w:val="en-US" w:eastAsia="zh-CN"/>
        </w:rPr>
        <w:t>12.33</w:t>
      </w:r>
      <w:r>
        <w:rPr>
          <w:sz w:val="28"/>
          <w:szCs w:val="28"/>
          <w:highlight w:val="none"/>
          <w:lang w:val="ru-RU"/>
        </w:rPr>
        <w:t>%</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计算机应用技术</w:t>
      </w:r>
      <w:r>
        <w:rPr>
          <w:rFonts w:hint="eastAsia"/>
          <w:sz w:val="28"/>
          <w:szCs w:val="28"/>
          <w:highlight w:val="none"/>
          <w:lang w:val="ru-RU"/>
        </w:rPr>
        <w:t>专业（</w:t>
      </w:r>
      <w:r>
        <w:rPr>
          <w:rFonts w:hint="eastAsia"/>
          <w:sz w:val="28"/>
          <w:szCs w:val="28"/>
          <w:highlight w:val="none"/>
          <w:lang w:val="en-US" w:eastAsia="zh-CN"/>
        </w:rPr>
        <w:t>477</w:t>
      </w:r>
      <w:r>
        <w:rPr>
          <w:rFonts w:hint="eastAsia"/>
          <w:sz w:val="28"/>
          <w:szCs w:val="28"/>
          <w:highlight w:val="none"/>
          <w:lang w:val="ru-RU"/>
        </w:rPr>
        <w:t>人，</w:t>
      </w:r>
      <w:r>
        <w:rPr>
          <w:rFonts w:hint="eastAsia"/>
          <w:sz w:val="28"/>
          <w:szCs w:val="28"/>
          <w:highlight w:val="none"/>
          <w:lang w:val="en-US" w:eastAsia="zh-CN"/>
        </w:rPr>
        <w:t>11.86</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、电子商务</w:t>
      </w:r>
      <w:r>
        <w:rPr>
          <w:rFonts w:hint="eastAsia"/>
          <w:sz w:val="28"/>
          <w:szCs w:val="28"/>
          <w:highlight w:val="none"/>
          <w:lang w:val="ru-RU"/>
        </w:rPr>
        <w:t>专业（</w:t>
      </w:r>
      <w:r>
        <w:rPr>
          <w:rFonts w:hint="eastAsia"/>
          <w:sz w:val="28"/>
          <w:szCs w:val="28"/>
          <w:highlight w:val="none"/>
          <w:lang w:val="en-US" w:eastAsia="zh-CN"/>
        </w:rPr>
        <w:t>433</w:t>
      </w:r>
      <w:r>
        <w:rPr>
          <w:rFonts w:hint="eastAsia"/>
          <w:sz w:val="28"/>
          <w:szCs w:val="28"/>
          <w:highlight w:val="none"/>
          <w:lang w:val="ru-RU"/>
        </w:rPr>
        <w:t>人，</w:t>
      </w:r>
      <w:r>
        <w:rPr>
          <w:rFonts w:hint="eastAsia"/>
          <w:sz w:val="28"/>
          <w:szCs w:val="28"/>
          <w:highlight w:val="none"/>
          <w:lang w:val="en-US" w:eastAsia="zh-CN"/>
        </w:rPr>
        <w:t>10.77</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、动物医学</w:t>
      </w:r>
      <w:r>
        <w:rPr>
          <w:rFonts w:hint="eastAsia"/>
          <w:sz w:val="28"/>
          <w:szCs w:val="28"/>
          <w:highlight w:val="none"/>
          <w:lang w:val="ru-RU"/>
        </w:rPr>
        <w:t>专业（</w:t>
      </w:r>
      <w:r>
        <w:rPr>
          <w:rFonts w:hint="eastAsia"/>
          <w:sz w:val="28"/>
          <w:szCs w:val="28"/>
          <w:highlight w:val="none"/>
          <w:lang w:val="en-US" w:eastAsia="zh-CN"/>
        </w:rPr>
        <w:t>266</w:t>
      </w:r>
      <w:r>
        <w:rPr>
          <w:rFonts w:hint="eastAsia"/>
          <w:sz w:val="28"/>
          <w:szCs w:val="28"/>
          <w:highlight w:val="none"/>
          <w:lang w:val="ru-RU"/>
        </w:rPr>
        <w:t>人，</w:t>
      </w:r>
      <w:r>
        <w:rPr>
          <w:rFonts w:hint="eastAsia"/>
          <w:sz w:val="28"/>
          <w:szCs w:val="28"/>
          <w:highlight w:val="none"/>
          <w:lang w:val="en-US" w:eastAsia="zh-CN"/>
        </w:rPr>
        <w:t>6.61</w:t>
      </w:r>
      <w:r>
        <w:rPr>
          <w:sz w:val="28"/>
          <w:szCs w:val="28"/>
          <w:highlight w:val="none"/>
          <w:lang w:val="ru-RU"/>
        </w:rPr>
        <w:t>%</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电梯工程技术</w:t>
      </w:r>
      <w:r>
        <w:rPr>
          <w:rFonts w:hint="eastAsia"/>
          <w:sz w:val="28"/>
          <w:szCs w:val="28"/>
          <w:highlight w:val="none"/>
          <w:lang w:val="ru-RU"/>
        </w:rPr>
        <w:t>专业（</w:t>
      </w:r>
      <w:r>
        <w:rPr>
          <w:rFonts w:hint="eastAsia"/>
          <w:sz w:val="28"/>
          <w:szCs w:val="28"/>
          <w:highlight w:val="none"/>
          <w:lang w:val="en-US" w:eastAsia="zh-CN"/>
        </w:rPr>
        <w:t>252</w:t>
      </w:r>
      <w:r>
        <w:rPr>
          <w:rFonts w:hint="eastAsia"/>
          <w:sz w:val="28"/>
          <w:szCs w:val="28"/>
          <w:highlight w:val="none"/>
          <w:lang w:val="ru-RU"/>
        </w:rPr>
        <w:t>人，</w:t>
      </w:r>
      <w:r>
        <w:rPr>
          <w:rFonts w:hint="eastAsia"/>
          <w:sz w:val="28"/>
          <w:szCs w:val="28"/>
          <w:highlight w:val="none"/>
          <w:lang w:val="en-US" w:eastAsia="zh-CN"/>
        </w:rPr>
        <w:t>6.27</w:t>
      </w:r>
      <w:r>
        <w:rPr>
          <w:sz w:val="28"/>
          <w:szCs w:val="28"/>
          <w:highlight w:val="none"/>
          <w:lang w:val="ru-RU"/>
        </w:rPr>
        <w:t>%</w:t>
      </w:r>
      <w:r>
        <w:rPr>
          <w:rFonts w:hint="eastAsia"/>
          <w:sz w:val="28"/>
          <w:szCs w:val="28"/>
          <w:highlight w:val="none"/>
          <w:lang w:val="ru-RU"/>
        </w:rPr>
        <w:t>）。</w:t>
      </w:r>
    </w:p>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1-1 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二级学院</w:t>
      </w:r>
      <w:r>
        <w:rPr>
          <w:rFonts w:hint="eastAsia" w:asciiTheme="minorEastAsia" w:hAnsiTheme="minorEastAsia" w:eastAsiaTheme="minorEastAsia"/>
          <w:sz w:val="20"/>
          <w:szCs w:val="20"/>
          <w:lang w:val="ru-RU"/>
        </w:rPr>
        <w:t>专业结构</w:t>
      </w:r>
    </w:p>
    <w:p>
      <w:pPr>
        <w:jc w:val="right"/>
        <w:rPr>
          <w:sz w:val="28"/>
          <w:szCs w:val="28"/>
          <w:lang w:val="ru-RU"/>
        </w:rPr>
      </w:pPr>
      <w:r>
        <w:rPr>
          <w:rFonts w:hint="eastAsia" w:asciiTheme="minorEastAsia" w:hAnsiTheme="minorEastAsia" w:eastAsiaTheme="minorEastAsia"/>
          <w:sz w:val="20"/>
          <w:szCs w:val="20"/>
          <w:lang w:val="ru-RU"/>
        </w:rPr>
        <w:t>单位：人数（人）、比例（%）</w:t>
      </w:r>
    </w:p>
    <w:tbl>
      <w:tblPr>
        <w:tblStyle w:val="19"/>
        <w:tblW w:w="0" w:type="auto"/>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390"/>
        <w:gridCol w:w="2803"/>
        <w:gridCol w:w="1600"/>
        <w:gridCol w:w="1525"/>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Ex>
        <w:tc>
          <w:tcPr>
            <w:tcW w:w="2390"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803"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6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总人数</w:t>
            </w:r>
          </w:p>
        </w:tc>
        <w:tc>
          <w:tcPr>
            <w:tcW w:w="1525"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比例</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会计</w:t>
            </w:r>
          </w:p>
        </w:tc>
        <w:tc>
          <w:tcPr>
            <w:tcW w:w="16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403</w:t>
            </w:r>
          </w:p>
        </w:tc>
        <w:tc>
          <w:tcPr>
            <w:tcW w:w="15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10.02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文秘</w:t>
            </w:r>
          </w:p>
        </w:tc>
        <w:tc>
          <w:tcPr>
            <w:tcW w:w="16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166</w:t>
            </w:r>
          </w:p>
        </w:tc>
        <w:tc>
          <w:tcPr>
            <w:tcW w:w="15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4.13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旅游管理</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118</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2.93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金融管理</w:t>
            </w:r>
          </w:p>
        </w:tc>
        <w:tc>
          <w:tcPr>
            <w:tcW w:w="16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58</w:t>
            </w:r>
          </w:p>
        </w:tc>
        <w:tc>
          <w:tcPr>
            <w:tcW w:w="15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财会工商学院 汇总</w:t>
            </w:r>
          </w:p>
        </w:tc>
        <w:tc>
          <w:tcPr>
            <w:tcW w:w="1600"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745</w:t>
            </w:r>
          </w:p>
        </w:tc>
        <w:tc>
          <w:tcPr>
            <w:tcW w:w="1525" w:type="dxa"/>
            <w:shd w:val="clear" w:color="auto" w:fill="D2EAF0" w:themeFill="accent5" w:themeFillTint="3F"/>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18.52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252</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6.27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221</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5.50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物联网应用技术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0.90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电梯工程学院 汇总</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509</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12.66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p>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艺术创意学院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电子商务</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433</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10.77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广告设计与制作</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189</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4.70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en-US" w:eastAsia="zh-CN"/>
              </w:rPr>
              <w:t>服装与服饰设计</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en-US" w:eastAsia="zh-CN"/>
              </w:rPr>
              <w:t>91</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艺术创意学院 汇总</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713</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sz w:val="20"/>
                <w:szCs w:val="20"/>
                <w:highlight w:val="none"/>
                <w:lang w:val="en-US"/>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17.73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266</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6.61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81</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2.01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38</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0.94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生物工程学院 汇总</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t>385</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9.57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803"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600"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c>
          <w:tcPr>
            <w:tcW w:w="1525"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4.67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汽车检测与维修技术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168</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4.18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right"/>
              <w:rPr>
                <w:rFonts w:hint="default" w:asciiTheme="minorEastAsia" w:hAnsiTheme="minorEastAsia" w:eastAsiaTheme="minorEastAsia"/>
                <w:b w:val="0"/>
                <w:bCs w:val="0"/>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汽车与智能制造学院 汇总</w:t>
            </w:r>
          </w:p>
        </w:tc>
        <w:tc>
          <w:tcPr>
            <w:tcW w:w="1600" w:type="dxa"/>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356</w:t>
            </w:r>
          </w:p>
        </w:tc>
        <w:tc>
          <w:tcPr>
            <w:tcW w:w="1525" w:type="dxa"/>
            <w:shd w:val="clear" w:color="auto" w:fill="92CDDC" w:themeFill="accent5" w:themeFillTint="99"/>
            <w:vAlign w:val="top"/>
          </w:tcPr>
          <w:p>
            <w:pPr>
              <w:jc w:val="right"/>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8.85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建筑工程学院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6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496</w:t>
            </w:r>
          </w:p>
        </w:tc>
        <w:tc>
          <w:tcPr>
            <w:tcW w:w="15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12.33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建筑装饰工程技术</w:t>
            </w:r>
          </w:p>
        </w:tc>
        <w:tc>
          <w:tcPr>
            <w:tcW w:w="16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143</w:t>
            </w:r>
          </w:p>
        </w:tc>
        <w:tc>
          <w:tcPr>
            <w:tcW w:w="15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3.56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工程造价</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1.97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建筑工程学院 汇总</w:t>
            </w:r>
          </w:p>
        </w:tc>
        <w:tc>
          <w:tcPr>
            <w:tcW w:w="1600"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718</w:t>
            </w:r>
          </w:p>
        </w:tc>
        <w:tc>
          <w:tcPr>
            <w:tcW w:w="152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17.85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信息技术学院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计算机应用技术</w:t>
            </w:r>
          </w:p>
        </w:tc>
        <w:tc>
          <w:tcPr>
            <w:tcW w:w="1600"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477</w:t>
            </w:r>
          </w:p>
        </w:tc>
        <w:tc>
          <w:tcPr>
            <w:tcW w:w="15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11.86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600"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5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1.96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16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5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0.99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90"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803"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信息技术学院 汇总</w:t>
            </w:r>
          </w:p>
        </w:tc>
        <w:tc>
          <w:tcPr>
            <w:tcW w:w="1600"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596</w:t>
            </w:r>
          </w:p>
        </w:tc>
        <w:tc>
          <w:tcPr>
            <w:tcW w:w="152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t>14.82</w:t>
            </w:r>
          </w:p>
        </w:tc>
      </w:tr>
    </w:tbl>
    <w:p>
      <w:pPr>
        <w:pStyle w:val="6"/>
        <w:rPr>
          <w:lang w:val="ru-RU"/>
        </w:rPr>
      </w:pPr>
    </w:p>
    <w:p>
      <w:pPr>
        <w:numPr>
          <w:ilvl w:val="0"/>
          <w:numId w:val="0"/>
        </w:numPr>
        <w:ind w:firstLine="0"/>
        <w:jc w:val="left"/>
        <w:rPr>
          <w:rFonts w:hint="default"/>
          <w:sz w:val="28"/>
          <w:szCs w:val="28"/>
          <w:highlight w:val="none"/>
          <w:lang w:val="en-US" w:eastAsia="zh-CN"/>
        </w:rPr>
      </w:pPr>
      <w:r>
        <w:rPr>
          <w:rFonts w:hint="eastAsia"/>
          <w:sz w:val="28"/>
          <w:szCs w:val="28"/>
          <w:highlight w:val="none"/>
          <w:lang w:val="en-US" w:eastAsia="zh-CN"/>
        </w:rPr>
        <w:t>2.省份结构</w:t>
      </w:r>
    </w:p>
    <w:p>
      <w:pPr>
        <w:ind w:firstLine="560" w:firstLineChars="200"/>
        <w:jc w:val="left"/>
        <w:rPr>
          <w:rFonts w:hint="eastAsia" w:asciiTheme="minorEastAsia" w:hAnsiTheme="minorEastAsia" w:eastAsiaTheme="minorEastAsia"/>
          <w:sz w:val="20"/>
          <w:szCs w:val="20"/>
          <w:lang w:val="ru-RU"/>
        </w:rPr>
      </w:pPr>
      <w:r>
        <w:rPr>
          <w:rFonts w:hint="eastAsia"/>
          <w:sz w:val="28"/>
          <w:szCs w:val="28"/>
          <w:lang w:val="en-US" w:eastAsia="zh-CN"/>
        </w:rPr>
        <w:t>2023</w:t>
      </w:r>
      <w:r>
        <w:rPr>
          <w:rFonts w:hint="eastAsia"/>
          <w:sz w:val="28"/>
          <w:szCs w:val="28"/>
          <w:lang w:val="ru-RU"/>
        </w:rPr>
        <w:t>届毕业生生源主要来自湖南省</w:t>
      </w:r>
      <w:r>
        <w:rPr>
          <w:rFonts w:hint="eastAsia"/>
          <w:sz w:val="28"/>
          <w:szCs w:val="28"/>
          <w:lang w:val="en-US" w:eastAsia="zh-CN"/>
        </w:rPr>
        <w:t>3799</w:t>
      </w:r>
      <w:r>
        <w:rPr>
          <w:rFonts w:hint="eastAsia"/>
          <w:sz w:val="28"/>
          <w:szCs w:val="28"/>
          <w:lang w:val="ru-RU"/>
        </w:rPr>
        <w:t>人，占比为</w:t>
      </w:r>
      <w:r>
        <w:rPr>
          <w:rFonts w:hint="eastAsia"/>
          <w:sz w:val="28"/>
          <w:szCs w:val="28"/>
          <w:lang w:val="en-US" w:eastAsia="zh-CN"/>
        </w:rPr>
        <w:t>94.45</w:t>
      </w:r>
      <w:r>
        <w:rPr>
          <w:sz w:val="28"/>
          <w:szCs w:val="28"/>
          <w:lang w:val="ru-RU"/>
        </w:rPr>
        <w:t>%</w:t>
      </w:r>
      <w:r>
        <w:rPr>
          <w:rFonts w:hint="eastAsia"/>
          <w:sz w:val="28"/>
          <w:szCs w:val="28"/>
          <w:lang w:val="ru-RU"/>
        </w:rPr>
        <w:t>；其次是西藏自治区</w:t>
      </w:r>
      <w:r>
        <w:rPr>
          <w:rFonts w:hint="eastAsia"/>
          <w:sz w:val="28"/>
          <w:szCs w:val="28"/>
          <w:lang w:val="en-US" w:eastAsia="zh-CN"/>
        </w:rPr>
        <w:t>180</w:t>
      </w:r>
      <w:r>
        <w:rPr>
          <w:rFonts w:hint="eastAsia"/>
          <w:sz w:val="28"/>
          <w:szCs w:val="28"/>
          <w:lang w:val="ru-RU"/>
        </w:rPr>
        <w:t>人，占比为</w:t>
      </w:r>
      <w:r>
        <w:rPr>
          <w:rFonts w:hint="eastAsia"/>
          <w:sz w:val="28"/>
          <w:szCs w:val="28"/>
          <w:lang w:val="en-US" w:eastAsia="zh-CN"/>
        </w:rPr>
        <w:t>4.48</w:t>
      </w:r>
      <w:r>
        <w:rPr>
          <w:sz w:val="28"/>
          <w:szCs w:val="28"/>
          <w:lang w:val="ru-RU"/>
        </w:rPr>
        <w:t>%</w:t>
      </w:r>
      <w:r>
        <w:rPr>
          <w:rFonts w:hint="eastAsia"/>
          <w:sz w:val="28"/>
          <w:szCs w:val="28"/>
          <w:lang w:val="ru-RU"/>
        </w:rPr>
        <w:t>；第三是广东省</w:t>
      </w:r>
      <w:r>
        <w:rPr>
          <w:rFonts w:hint="eastAsia"/>
          <w:sz w:val="28"/>
          <w:szCs w:val="28"/>
          <w:lang w:val="en-US" w:eastAsia="zh-CN"/>
        </w:rPr>
        <w:t>19</w:t>
      </w:r>
      <w:r>
        <w:rPr>
          <w:rFonts w:hint="eastAsia"/>
          <w:sz w:val="28"/>
          <w:szCs w:val="28"/>
          <w:lang w:val="ru-RU"/>
        </w:rPr>
        <w:t>人，占比为</w:t>
      </w:r>
      <w:r>
        <w:rPr>
          <w:rFonts w:hint="eastAsia"/>
          <w:sz w:val="28"/>
          <w:szCs w:val="28"/>
          <w:lang w:val="en-US" w:eastAsia="zh-CN"/>
        </w:rPr>
        <w:t>0.47</w:t>
      </w:r>
      <w:r>
        <w:rPr>
          <w:sz w:val="28"/>
          <w:szCs w:val="28"/>
          <w:lang w:val="ru-RU"/>
        </w:rPr>
        <w:t>%</w:t>
      </w:r>
      <w:r>
        <w:rPr>
          <w:rFonts w:hint="eastAsia"/>
          <w:sz w:val="28"/>
          <w:szCs w:val="28"/>
          <w:lang w:val="ru-RU"/>
        </w:rPr>
        <w:t>。其余省份人数较少。</w:t>
      </w:r>
    </w:p>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1-2 </w:t>
      </w:r>
      <w:r>
        <w:rPr>
          <w:rFonts w:hint="eastAsia" w:asciiTheme="minorEastAsia" w:hAnsiTheme="minorEastAsia" w:eastAsiaTheme="minorEastAsia"/>
          <w:sz w:val="20"/>
          <w:szCs w:val="20"/>
          <w:lang w:val="en-US" w:eastAsia="zh-CN"/>
        </w:rPr>
        <w:t>2023</w:t>
      </w:r>
      <w:r>
        <w:rPr>
          <w:rFonts w:hint="eastAsia" w:asciiTheme="minorEastAsia" w:hAnsiTheme="minorEastAsia" w:eastAsiaTheme="minorEastAsia"/>
          <w:sz w:val="20"/>
          <w:szCs w:val="20"/>
          <w:lang w:val="ru-RU"/>
        </w:rPr>
        <w:t>届毕业生生源地结构</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8517" w:type="dxa"/>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blGrid>
        <w:gridCol w:w="2343"/>
        <w:gridCol w:w="3474"/>
        <w:gridCol w:w="2700"/>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val="0"/>
                <w:bCs/>
                <w:sz w:val="20"/>
                <w:szCs w:val="20"/>
                <w:lang w:val="ru-RU"/>
              </w:rPr>
              <w:t>生源地</w:t>
            </w:r>
          </w:p>
        </w:tc>
        <w:tc>
          <w:tcPr>
            <w:tcW w:w="3474"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hint="default"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cstheme="majorBidi"/>
                <w:b w:val="0"/>
                <w:bCs/>
                <w:sz w:val="20"/>
                <w:szCs w:val="20"/>
                <w:lang w:val="ru-RU"/>
              </w:rPr>
              <w:t>毕业生人数</w:t>
            </w:r>
          </w:p>
        </w:tc>
        <w:tc>
          <w:tcPr>
            <w:tcW w:w="270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hint="default"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pPr>
            <w:r>
              <w:rPr>
                <w:rFonts w:hint="eastAsia" w:asciiTheme="minorEastAsia" w:hAnsiTheme="minorEastAsia" w:eastAsiaTheme="minorEastAsia" w:cstheme="majorBidi"/>
                <w:b w:val="0"/>
                <w:bCs/>
                <w:sz w:val="20"/>
                <w:szCs w:val="20"/>
                <w:lang w:val="ru-RU"/>
              </w:rPr>
              <w:t>比例</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湖南省邵阳地区</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2678</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lang w:val="en-US" w:eastAsia="zh-CN"/>
              </w:rPr>
            </w:pPr>
            <w:r>
              <w:rPr>
                <w:rFonts w:hint="eastAsia" w:ascii="宋体" w:hAnsi="宋体" w:eastAsia="宋体" w:cs="宋体"/>
                <w:sz w:val="20"/>
                <w:szCs w:val="20"/>
                <w:lang w:val="en-US" w:eastAsia="zh-CN"/>
              </w:rPr>
              <w:t>6</w:t>
            </w:r>
            <w:r>
              <w:rPr>
                <w:rFonts w:hint="eastAsia" w:ascii="宋体" w:hAnsi="宋体" w:cs="宋体"/>
                <w:sz w:val="20"/>
                <w:szCs w:val="20"/>
                <w:lang w:val="en-US" w:eastAsia="zh-CN"/>
              </w:rPr>
              <w:t>6.58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湖南省其它地区</w:t>
            </w:r>
          </w:p>
        </w:tc>
        <w:tc>
          <w:tcPr>
            <w:tcW w:w="3474" w:type="dxa"/>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1121</w:t>
            </w:r>
          </w:p>
        </w:tc>
        <w:tc>
          <w:tcPr>
            <w:tcW w:w="2700" w:type="dxa"/>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27.87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西藏自治区</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180</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4.48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eastAsia="宋体" w:cs="宋体"/>
                <w:i w:val="0"/>
                <w:iCs w:val="0"/>
                <w:color w:val="000000"/>
                <w:kern w:val="0"/>
                <w:sz w:val="20"/>
                <w:szCs w:val="20"/>
                <w:u w:val="none"/>
                <w:lang w:val="en-US" w:eastAsia="zh-CN" w:bidi="ar"/>
              </w:rPr>
              <w:t>广东省</w:t>
            </w:r>
          </w:p>
        </w:tc>
        <w:tc>
          <w:tcPr>
            <w:tcW w:w="3474" w:type="dxa"/>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19</w:t>
            </w:r>
          </w:p>
        </w:tc>
        <w:tc>
          <w:tcPr>
            <w:tcW w:w="2700" w:type="dxa"/>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0.47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贵州</w:t>
            </w:r>
            <w:r>
              <w:rPr>
                <w:rFonts w:hint="eastAsia" w:ascii="宋体" w:hAnsi="宋体" w:eastAsia="宋体" w:cs="宋体"/>
                <w:i w:val="0"/>
                <w:iCs w:val="0"/>
                <w:color w:val="000000"/>
                <w:kern w:val="0"/>
                <w:sz w:val="20"/>
                <w:szCs w:val="20"/>
                <w:u w:val="none"/>
                <w:lang w:val="en-US" w:eastAsia="zh-CN" w:bidi="ar"/>
              </w:rPr>
              <w:t>省</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16</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0.40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湖北省</w:t>
            </w:r>
          </w:p>
        </w:tc>
        <w:tc>
          <w:tcPr>
            <w:tcW w:w="3474"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2</w:t>
            </w:r>
          </w:p>
        </w:tc>
        <w:tc>
          <w:tcPr>
            <w:tcW w:w="2700" w:type="dxa"/>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四川省</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2</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广西壮族</w:t>
            </w:r>
            <w:r>
              <w:rPr>
                <w:rFonts w:hint="eastAsia" w:ascii="宋体" w:hAnsi="宋体" w:eastAsia="宋体" w:cs="宋体"/>
                <w:i w:val="0"/>
                <w:iCs w:val="0"/>
                <w:color w:val="000000"/>
                <w:kern w:val="0"/>
                <w:sz w:val="20"/>
                <w:szCs w:val="20"/>
                <w:u w:val="none"/>
                <w:lang w:val="en-US" w:eastAsia="zh-CN" w:bidi="ar"/>
              </w:rPr>
              <w:t>自治区</w:t>
            </w:r>
          </w:p>
        </w:tc>
        <w:tc>
          <w:tcPr>
            <w:tcW w:w="3474" w:type="dxa"/>
            <w:shd w:val="clear" w:color="auto" w:fill="D2EAF0" w:themeFill="accent5" w:themeFillTint="3F"/>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w:t>
            </w:r>
          </w:p>
        </w:tc>
        <w:tc>
          <w:tcPr>
            <w:tcW w:w="2700"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福建</w:t>
            </w:r>
            <w:r>
              <w:rPr>
                <w:rFonts w:hint="eastAsia" w:ascii="宋体" w:hAnsi="宋体" w:eastAsia="宋体" w:cs="宋体"/>
                <w:i w:val="0"/>
                <w:iCs w:val="0"/>
                <w:color w:val="000000"/>
                <w:kern w:val="0"/>
                <w:sz w:val="20"/>
                <w:szCs w:val="20"/>
                <w:u w:val="none"/>
                <w:lang w:val="en-US" w:eastAsia="zh-CN" w:bidi="ar"/>
              </w:rPr>
              <w:t>省</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rPr>
            </w:pPr>
            <w:r>
              <w:rPr>
                <w:rFonts w:hint="eastAsia" w:ascii="宋体" w:hAnsi="宋体" w:cs="宋体"/>
                <w:i w:val="0"/>
                <w:iCs w:val="0"/>
                <w:color w:val="000000"/>
                <w:kern w:val="0"/>
                <w:sz w:val="20"/>
                <w:szCs w:val="20"/>
                <w:u w:val="none"/>
                <w:lang w:val="en-US" w:eastAsia="zh-CN" w:bidi="ar"/>
              </w:rPr>
              <w:t>1</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0.025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云南省</w:t>
            </w:r>
          </w:p>
        </w:tc>
        <w:tc>
          <w:tcPr>
            <w:tcW w:w="3474" w:type="dxa"/>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sz w:val="20"/>
                <w:szCs w:val="20"/>
                <w:lang w:val="ru-RU"/>
              </w:rPr>
            </w:pPr>
            <w:r>
              <w:rPr>
                <w:rFonts w:hint="eastAsia" w:ascii="宋体" w:hAnsi="宋体" w:cs="宋体"/>
                <w:i w:val="0"/>
                <w:iCs w:val="0"/>
                <w:color w:val="000000"/>
                <w:kern w:val="0"/>
                <w:sz w:val="20"/>
                <w:szCs w:val="20"/>
                <w:u w:val="none"/>
                <w:lang w:val="en-US" w:eastAsia="zh-CN" w:bidi="ar"/>
              </w:rPr>
              <w:t>1</w:t>
            </w:r>
          </w:p>
        </w:tc>
        <w:tc>
          <w:tcPr>
            <w:tcW w:w="2700" w:type="dxa"/>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0.025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4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rPr>
            </w:pPr>
            <w:r>
              <w:rPr>
                <w:rFonts w:hint="eastAsia" w:asciiTheme="minorEastAsia" w:hAnsiTheme="minorEastAsia" w:eastAsiaTheme="minorEastAsia" w:cstheme="majorBidi"/>
                <w:b/>
                <w:bCs/>
                <w:sz w:val="20"/>
                <w:szCs w:val="20"/>
                <w:lang w:val="ru-RU"/>
              </w:rPr>
              <w:t>总计</w:t>
            </w:r>
          </w:p>
        </w:tc>
        <w:tc>
          <w:tcPr>
            <w:tcW w:w="3474"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rPr>
            </w:pPr>
            <w:r>
              <w:rPr>
                <w:rFonts w:hint="eastAsia" w:asciiTheme="minorEastAsia" w:hAnsiTheme="minorEastAsia" w:eastAsiaTheme="minorEastAsia"/>
                <w:b/>
                <w:bCs/>
                <w:sz w:val="20"/>
                <w:szCs w:val="20"/>
                <w:lang w:val="en-US" w:eastAsia="zh-CN"/>
              </w:rPr>
              <w:t>4022</w:t>
            </w:r>
          </w:p>
        </w:tc>
        <w:tc>
          <w:tcPr>
            <w:tcW w:w="270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b/>
                <w:bCs/>
                <w:sz w:val="20"/>
                <w:szCs w:val="20"/>
                <w:lang w:val="ru-RU"/>
              </w:rPr>
              <w:t>100.00</w:t>
            </w:r>
          </w:p>
        </w:tc>
      </w:tr>
    </w:tbl>
    <w:p>
      <w:pPr>
        <w:jc w:val="left"/>
        <w:rPr>
          <w:rFonts w:hint="eastAsia" w:asciiTheme="minorEastAsia" w:hAnsiTheme="minorEastAsia" w:eastAsiaTheme="minorEastAsia"/>
          <w:sz w:val="20"/>
          <w:szCs w:val="20"/>
          <w:lang w:val="ru-RU"/>
        </w:rPr>
      </w:pPr>
    </w:p>
    <w:p>
      <w:pPr>
        <w:numPr>
          <w:ilvl w:val="0"/>
          <w:numId w:val="4"/>
        </w:numPr>
        <w:ind w:firstLine="0" w:firstLineChars="0"/>
        <w:jc w:val="left"/>
        <w:rPr>
          <w:rFonts w:hint="eastAsia"/>
          <w:sz w:val="28"/>
          <w:szCs w:val="28"/>
          <w:highlight w:val="none"/>
          <w:lang w:val="ru-RU"/>
        </w:rPr>
      </w:pPr>
      <w:r>
        <w:rPr>
          <w:rFonts w:hint="eastAsia"/>
          <w:sz w:val="28"/>
          <w:szCs w:val="28"/>
          <w:highlight w:val="none"/>
          <w:lang w:val="ru-RU"/>
        </w:rPr>
        <w:t>民族结构</w:t>
      </w:r>
    </w:p>
    <w:p>
      <w:pPr>
        <w:numPr>
          <w:ilvl w:val="0"/>
          <w:numId w:val="0"/>
        </w:numPr>
        <w:ind w:firstLine="560"/>
        <w:jc w:val="both"/>
        <w:rPr>
          <w:sz w:val="28"/>
          <w:szCs w:val="28"/>
          <w:highlight w:val="none"/>
          <w:lang w:val="ru-RU"/>
        </w:rPr>
      </w:pPr>
      <w:r>
        <w:rPr>
          <w:rFonts w:hint="eastAsia"/>
          <w:sz w:val="28"/>
          <w:szCs w:val="28"/>
          <w:highlight w:val="none"/>
          <w:lang w:val="en-US" w:eastAsia="zh-CN"/>
        </w:rPr>
        <w:t>2023届毕业生来自于15个民族，汉族生源人数最多，共有3375人（占比83.91%），非汉族生源人数647人（占比16.09%）。非汉族生源人数位列前三的民族分别为：苗族296人（占比7.36%）；藏族177人（占比4.40%）；土家族52人（占比1.29%）。</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rPr>
        <w:t>表</w:t>
      </w:r>
      <w:r>
        <w:rPr>
          <w:rFonts w:asciiTheme="minorEastAsia" w:hAnsiTheme="minorEastAsia" w:eastAsiaTheme="minorEastAsia"/>
          <w:sz w:val="20"/>
          <w:szCs w:val="20"/>
        </w:rPr>
        <w:t xml:space="preserve"> 1-</w:t>
      </w:r>
      <w:r>
        <w:rPr>
          <w:rFonts w:hint="eastAsia" w:asciiTheme="minorEastAsia" w:hAnsiTheme="minorEastAsia" w:eastAsiaTheme="minorEastAsia"/>
          <w:sz w:val="20"/>
          <w:szCs w:val="20"/>
        </w:rPr>
        <w:t>3</w:t>
      </w:r>
      <w:r>
        <w:rPr>
          <w:rFonts w:asciiTheme="minorEastAsia" w:hAnsiTheme="minorEastAsia" w:eastAsiaTheme="minorEastAsia"/>
          <w:sz w:val="20"/>
          <w:szCs w:val="20"/>
        </w:rPr>
        <w:t xml:space="preserve"> 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rPr>
        <w:t>届毕业生民族结构</w:t>
      </w:r>
    </w:p>
    <w:p>
      <w:pPr>
        <w:jc w:val="right"/>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4"/>
        <w:tblW w:w="0" w:type="auto"/>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2840"/>
        <w:gridCol w:w="2841"/>
        <w:gridCol w:w="2841"/>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民族</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人数</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ru-RU"/>
              </w:rPr>
              <w:t>汉族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3375</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83.91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苗</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296</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7.36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藏</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177</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4.40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土家</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52</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侗</w:t>
            </w:r>
            <w:r>
              <w:rPr>
                <w:rFonts w:hint="eastAsia" w:asciiTheme="minorEastAsia" w:hAnsiTheme="minorEastAsia" w:eastAsiaTheme="minorEastAsia" w:cstheme="majorBidi"/>
                <w:b w:val="0"/>
                <w:bCs/>
                <w:sz w:val="20"/>
                <w:szCs w:val="20"/>
                <w:lang w:val="ru-RU"/>
              </w:rPr>
              <w:t>族</w:t>
            </w:r>
            <w:r>
              <w:rPr>
                <w:rFonts w:hint="eastAsia" w:asciiTheme="minorEastAsia" w:hAnsiTheme="minorEastAsia" w:eastAsiaTheme="minorEastAsia" w:cstheme="majorBidi"/>
                <w:b w:val="0"/>
                <w:bCs/>
                <w:sz w:val="20"/>
                <w:szCs w:val="20"/>
                <w:lang w:val="en-US" w:eastAsia="zh-CN"/>
              </w:rPr>
              <w:t xml:space="preserve"> </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49</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瑶</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37</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0.92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回</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26</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0.65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asciiTheme="minorEastAsia" w:hAnsiTheme="minorEastAsia" w:eastAsiaTheme="minorEastAsia" w:cstheme="majorBidi"/>
                <w:b w:val="0"/>
                <w:bCs/>
                <w:sz w:val="20"/>
                <w:szCs w:val="20"/>
                <w:lang w:val="ru-RU"/>
              </w:rPr>
            </w:pPr>
            <w:r>
              <w:rPr>
                <w:rFonts w:hint="eastAsia" w:asciiTheme="minorEastAsia" w:hAnsiTheme="minorEastAsia" w:eastAsiaTheme="minorEastAsia" w:cstheme="majorBidi"/>
                <w:b w:val="0"/>
                <w:bCs/>
                <w:sz w:val="20"/>
                <w:szCs w:val="20"/>
                <w:lang w:val="en-US" w:eastAsia="zh-CN"/>
              </w:rPr>
              <w:t xml:space="preserve">仫佬族 </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sz w:val="20"/>
                <w:szCs w:val="20"/>
                <w:lang w:val="ru-RU" w:eastAsia="zh-CN"/>
              </w:rPr>
            </w:pPr>
            <w:r>
              <w:rPr>
                <w:rFonts w:hint="eastAsia" w:asciiTheme="minorEastAsia" w:hAnsiTheme="minorEastAsia" w:eastAsiaTheme="minorEastAsia"/>
                <w:sz w:val="20"/>
                <w:szCs w:val="20"/>
                <w:lang w:val="en-US" w:eastAsia="zh-CN"/>
              </w:rPr>
              <w:t>2</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其他</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2</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9" w:hRule="atLeast"/>
        </w:trPr>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门巴</w:t>
            </w:r>
            <w:r>
              <w:rPr>
                <w:rFonts w:hint="eastAsia" w:asciiTheme="minorEastAsia" w:hAnsiTheme="minorEastAsia" w:eastAsiaTheme="minorEastAsia" w:cstheme="majorBidi"/>
                <w:b w:val="0"/>
                <w:bCs/>
                <w:sz w:val="20"/>
                <w:szCs w:val="20"/>
                <w:lang w:val="ru-RU"/>
              </w:rPr>
              <w:t>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bCs/>
                <w:kern w:val="2"/>
                <w:sz w:val="20"/>
                <w:szCs w:val="20"/>
                <w:lang w:val="en-US" w:eastAsia="zh-CN" w:bidi="ar-SA"/>
              </w:rPr>
            </w:pPr>
            <w:r>
              <w:rPr>
                <w:rFonts w:hint="eastAsia" w:asciiTheme="minorEastAsia" w:hAnsiTheme="minorEastAsia" w:eastAsiaTheme="minorEastAsia" w:cstheme="majorBidi"/>
                <w:b w:val="0"/>
                <w:bCs w:val="0"/>
                <w:sz w:val="20"/>
                <w:szCs w:val="20"/>
                <w:lang w:val="en-US" w:eastAsia="zh-CN"/>
              </w:rPr>
              <w:t>布依族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val="0"/>
                <w:kern w:val="2"/>
                <w:sz w:val="20"/>
                <w:szCs w:val="20"/>
                <w:lang w:val="ru-RU"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sz w:val="20"/>
                <w:szCs w:val="20"/>
                <w:lang w:val="en-US" w:eastAsia="zh-CN"/>
              </w:rPr>
              <w:t>0.025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独龙族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b w:val="0"/>
                <w:bCs w:val="0"/>
                <w:kern w:val="2"/>
                <w:sz w:val="20"/>
                <w:szCs w:val="20"/>
                <w:lang w:val="en-US"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sz w:val="20"/>
                <w:szCs w:val="20"/>
                <w:lang w:val="en-US" w:eastAsia="zh-CN"/>
              </w:rPr>
              <w:t>0.025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bCs/>
                <w:kern w:val="2"/>
                <w:sz w:val="20"/>
                <w:szCs w:val="20"/>
                <w:lang w:val="en-US" w:eastAsia="zh-CN" w:bidi="ar-SA"/>
              </w:rPr>
            </w:pPr>
            <w:r>
              <w:rPr>
                <w:rFonts w:hint="eastAsia" w:asciiTheme="minorEastAsia" w:hAnsiTheme="minorEastAsia" w:eastAsiaTheme="minorEastAsia" w:cstheme="majorBidi"/>
                <w:b w:val="0"/>
                <w:bCs w:val="0"/>
                <w:sz w:val="20"/>
                <w:szCs w:val="20"/>
                <w:lang w:val="en-US" w:eastAsia="zh-CN"/>
              </w:rPr>
              <w:t>黎族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val="0"/>
                <w:kern w:val="2"/>
                <w:sz w:val="20"/>
                <w:szCs w:val="20"/>
                <w:lang w:val="ru-RU"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sz w:val="20"/>
                <w:szCs w:val="20"/>
                <w:lang w:val="en-US" w:eastAsia="zh-CN"/>
              </w:rPr>
              <w:t>0.025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ru-RU"/>
              </w:rPr>
              <w:t>壮族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b w:val="0"/>
                <w:bCs w:val="0"/>
                <w:kern w:val="2"/>
                <w:sz w:val="20"/>
                <w:szCs w:val="20"/>
                <w:lang w:val="en-US"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sz w:val="20"/>
                <w:szCs w:val="20"/>
                <w:lang w:val="en-US" w:eastAsia="zh-CN"/>
              </w:rPr>
              <w:t>0.025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bCs/>
                <w:kern w:val="2"/>
                <w:sz w:val="20"/>
                <w:szCs w:val="20"/>
                <w:lang w:val="en-US" w:eastAsia="zh-CN" w:bidi="ar-SA"/>
              </w:rPr>
            </w:pPr>
            <w:r>
              <w:rPr>
                <w:rFonts w:hint="eastAsia" w:asciiTheme="minorEastAsia" w:hAnsiTheme="minorEastAsia" w:eastAsiaTheme="minorEastAsia" w:cstheme="majorBidi"/>
                <w:b w:val="0"/>
                <w:bCs w:val="0"/>
                <w:sz w:val="20"/>
                <w:szCs w:val="20"/>
                <w:lang w:val="en-US" w:eastAsia="zh-CN"/>
              </w:rPr>
              <w:t>水族</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val="0"/>
                <w:bCs w:val="0"/>
                <w:kern w:val="2"/>
                <w:sz w:val="20"/>
                <w:szCs w:val="20"/>
                <w:lang w:val="ru-RU" w:eastAsia="zh-CN" w:bidi="ar-SA"/>
              </w:rPr>
            </w:pPr>
            <w:r>
              <w:rPr>
                <w:rFonts w:hint="eastAsia" w:asciiTheme="minorEastAsia" w:hAnsiTheme="minorEastAsia" w:eastAsiaTheme="minorEastAsia"/>
                <w:b w:val="0"/>
                <w:bCs w:val="0"/>
                <w:sz w:val="20"/>
                <w:szCs w:val="20"/>
                <w:lang w:val="en-US" w:eastAsia="zh-CN"/>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asciiTheme="minorEastAsia" w:hAnsiTheme="minorEastAsia" w:eastAsiaTheme="minorEastAsia"/>
                <w:sz w:val="20"/>
                <w:szCs w:val="20"/>
                <w:lang w:val="en-US" w:eastAsia="zh-CN"/>
              </w:rPr>
              <w:t>0.025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bCs/>
                <w:sz w:val="20"/>
                <w:szCs w:val="20"/>
                <w:lang w:val="ru-RU"/>
              </w:rPr>
              <w:t>总计</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b w:val="0"/>
                <w:bCs w:val="0"/>
                <w:kern w:val="2"/>
                <w:sz w:val="20"/>
                <w:szCs w:val="20"/>
                <w:lang w:val="en-US" w:eastAsia="zh-CN" w:bidi="ar-SA"/>
              </w:rPr>
            </w:pPr>
            <w:r>
              <w:rPr>
                <w:rFonts w:hint="eastAsia" w:asciiTheme="minorEastAsia" w:hAnsiTheme="minorEastAsia" w:eastAsiaTheme="minorEastAsia"/>
                <w:b/>
                <w:bCs/>
                <w:sz w:val="20"/>
                <w:szCs w:val="20"/>
                <w:lang w:val="en-US" w:eastAsia="zh-CN"/>
              </w:rPr>
              <w:t>4022</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cs="Times New Roman" w:asciiTheme="minorEastAsia" w:hAnsiTheme="minorEastAsia" w:eastAsiaTheme="minorEastAsia"/>
                <w:b/>
                <w:bCs/>
                <w:kern w:val="2"/>
                <w:sz w:val="20"/>
                <w:szCs w:val="20"/>
                <w:lang w:val="ru-RU" w:eastAsia="zh-CN" w:bidi="ar-SA"/>
              </w:rPr>
            </w:pPr>
            <w:r>
              <w:rPr>
                <w:rFonts w:hint="eastAsia" w:asciiTheme="minorEastAsia" w:hAnsiTheme="minorEastAsia" w:eastAsiaTheme="minorEastAsia"/>
                <w:b/>
                <w:bCs/>
                <w:sz w:val="20"/>
                <w:szCs w:val="20"/>
                <w:lang w:val="ru-RU"/>
              </w:rPr>
              <w:t>100.00</w:t>
            </w:r>
          </w:p>
        </w:tc>
      </w:tr>
    </w:tbl>
    <w:p>
      <w:pPr>
        <w:ind w:firstLine="0" w:firstLineChars="0"/>
        <w:jc w:val="left"/>
        <w:rPr>
          <w:rFonts w:hint="eastAsia"/>
          <w:sz w:val="28"/>
          <w:szCs w:val="28"/>
          <w:highlight w:val="none"/>
          <w:lang w:val="en-US" w:eastAsia="zh-CN"/>
        </w:rPr>
      </w:pPr>
    </w:p>
    <w:p>
      <w:pPr>
        <w:ind w:firstLine="0" w:firstLineChars="0"/>
        <w:jc w:val="left"/>
        <w:rPr>
          <w:sz w:val="28"/>
          <w:szCs w:val="28"/>
          <w:highlight w:val="none"/>
          <w:lang w:val="ru-RU"/>
        </w:rPr>
      </w:pPr>
      <w:r>
        <w:rPr>
          <w:rFonts w:hint="eastAsia"/>
          <w:sz w:val="28"/>
          <w:szCs w:val="28"/>
          <w:highlight w:val="none"/>
          <w:lang w:val="en-US" w:eastAsia="zh-CN"/>
        </w:rPr>
        <w:t>4.</w:t>
      </w:r>
      <w:r>
        <w:rPr>
          <w:rFonts w:hint="eastAsia"/>
          <w:sz w:val="28"/>
          <w:szCs w:val="28"/>
          <w:highlight w:val="none"/>
          <w:lang w:val="ru-RU"/>
        </w:rPr>
        <w:t>政治面貌结构</w:t>
      </w:r>
    </w:p>
    <w:p>
      <w:pPr>
        <w:ind w:firstLine="560" w:firstLineChars="200"/>
        <w:jc w:val="left"/>
        <w:rPr>
          <w:rFonts w:hint="eastAsia"/>
          <w:sz w:val="28"/>
          <w:szCs w:val="28"/>
          <w:lang w:val="en-US" w:eastAsia="zh-CN"/>
        </w:rPr>
      </w:pPr>
      <w:r>
        <w:rPr>
          <w:sz w:val="28"/>
          <w:szCs w:val="28"/>
          <w:lang w:val="ru-RU"/>
        </w:rPr>
        <w:t>2</w:t>
      </w:r>
      <w:r>
        <w:rPr>
          <w:rFonts w:hint="eastAsia"/>
          <w:sz w:val="28"/>
          <w:szCs w:val="28"/>
          <w:lang w:val="en-US" w:eastAsia="zh-CN"/>
        </w:rPr>
        <w:t>023</w:t>
      </w:r>
      <w:r>
        <w:rPr>
          <w:rFonts w:hint="eastAsia"/>
          <w:sz w:val="28"/>
          <w:szCs w:val="28"/>
          <w:lang w:val="ru-RU"/>
        </w:rPr>
        <w:t>届毕业生中，共青团员</w:t>
      </w:r>
      <w:r>
        <w:rPr>
          <w:rFonts w:hint="eastAsia"/>
          <w:sz w:val="28"/>
          <w:szCs w:val="28"/>
          <w:lang w:val="en-US" w:eastAsia="zh-CN"/>
        </w:rPr>
        <w:t>2236</w:t>
      </w:r>
      <w:r>
        <w:rPr>
          <w:rFonts w:hint="eastAsia"/>
          <w:sz w:val="28"/>
          <w:szCs w:val="28"/>
          <w:lang w:val="ru-RU"/>
        </w:rPr>
        <w:t>人，占比为</w:t>
      </w:r>
      <w:r>
        <w:rPr>
          <w:rFonts w:hint="eastAsia"/>
          <w:sz w:val="28"/>
          <w:szCs w:val="28"/>
          <w:lang w:val="en-US" w:eastAsia="zh-CN"/>
        </w:rPr>
        <w:t xml:space="preserve"> 55.59</w:t>
      </w:r>
      <w:r>
        <w:rPr>
          <w:sz w:val="28"/>
          <w:szCs w:val="28"/>
          <w:lang w:val="ru-RU"/>
        </w:rPr>
        <w:t>%</w:t>
      </w:r>
      <w:r>
        <w:rPr>
          <w:rFonts w:hint="eastAsia"/>
          <w:sz w:val="28"/>
          <w:szCs w:val="28"/>
          <w:lang w:val="ru-RU"/>
        </w:rPr>
        <w:t>；群众</w:t>
      </w:r>
      <w:r>
        <w:rPr>
          <w:rFonts w:hint="eastAsia"/>
          <w:sz w:val="28"/>
          <w:szCs w:val="28"/>
          <w:lang w:val="en-US" w:eastAsia="zh-CN"/>
        </w:rPr>
        <w:t>1392</w:t>
      </w:r>
      <w:r>
        <w:rPr>
          <w:rFonts w:hint="eastAsia"/>
          <w:sz w:val="28"/>
          <w:szCs w:val="28"/>
          <w:lang w:val="ru-RU"/>
        </w:rPr>
        <w:t>人，占比为</w:t>
      </w:r>
      <w:r>
        <w:rPr>
          <w:rFonts w:hint="eastAsia"/>
          <w:sz w:val="28"/>
          <w:szCs w:val="28"/>
          <w:lang w:val="en-US" w:eastAsia="zh-CN"/>
        </w:rPr>
        <w:t>34.61</w:t>
      </w:r>
      <w:r>
        <w:rPr>
          <w:sz w:val="28"/>
          <w:szCs w:val="28"/>
          <w:lang w:val="ru-RU"/>
        </w:rPr>
        <w:t>%</w:t>
      </w:r>
      <w:r>
        <w:rPr>
          <w:rFonts w:hint="eastAsia"/>
          <w:sz w:val="28"/>
          <w:szCs w:val="28"/>
          <w:lang w:val="ru-RU"/>
        </w:rPr>
        <w:t>；</w:t>
      </w:r>
      <w:r>
        <w:rPr>
          <w:rFonts w:hint="eastAsia"/>
          <w:sz w:val="28"/>
          <w:szCs w:val="28"/>
          <w:highlight w:val="none"/>
          <w:lang w:val="ru-RU"/>
        </w:rPr>
        <w:t>中共预备党员</w:t>
      </w:r>
      <w:r>
        <w:rPr>
          <w:sz w:val="28"/>
          <w:szCs w:val="28"/>
          <w:highlight w:val="none"/>
          <w:lang w:val="ru-RU"/>
        </w:rPr>
        <w:t xml:space="preserve"> </w:t>
      </w:r>
      <w:r>
        <w:rPr>
          <w:rFonts w:hint="eastAsia"/>
          <w:sz w:val="28"/>
          <w:szCs w:val="28"/>
          <w:highlight w:val="none"/>
          <w:lang w:val="en-US" w:eastAsia="zh-CN"/>
        </w:rPr>
        <w:t>9</w:t>
      </w:r>
      <w:r>
        <w:rPr>
          <w:rFonts w:hint="eastAsia"/>
          <w:sz w:val="28"/>
          <w:szCs w:val="28"/>
          <w:highlight w:val="none"/>
          <w:lang w:val="ru-RU"/>
        </w:rPr>
        <w:t>人，</w:t>
      </w:r>
      <w:r>
        <w:rPr>
          <w:rFonts w:hint="eastAsia"/>
          <w:sz w:val="28"/>
          <w:szCs w:val="28"/>
          <w:lang w:val="ru-RU"/>
        </w:rPr>
        <w:t>占比为</w:t>
      </w:r>
      <w:r>
        <w:rPr>
          <w:rFonts w:hint="eastAsia"/>
          <w:sz w:val="28"/>
          <w:szCs w:val="28"/>
          <w:lang w:val="en-US" w:eastAsia="zh-CN"/>
        </w:rPr>
        <w:t>0.22</w:t>
      </w:r>
      <w:r>
        <w:rPr>
          <w:sz w:val="28"/>
          <w:szCs w:val="28"/>
          <w:lang w:val="ru-RU"/>
        </w:rPr>
        <w:t xml:space="preserve"> %</w:t>
      </w:r>
      <w:r>
        <w:rPr>
          <w:rFonts w:hint="eastAsia"/>
          <w:sz w:val="28"/>
          <w:szCs w:val="28"/>
          <w:lang w:val="ru-RU" w:eastAsia="zh-CN"/>
        </w:rPr>
        <w:t>；</w:t>
      </w:r>
      <w:r>
        <w:rPr>
          <w:rFonts w:hint="eastAsia"/>
          <w:sz w:val="28"/>
          <w:szCs w:val="28"/>
          <w:lang w:val="en-US" w:eastAsia="zh-CN"/>
        </w:rPr>
        <w:t>中共党员385人，占比为9.58%。</w:t>
      </w:r>
    </w:p>
    <w:p>
      <w:pPr>
        <w:jc w:val="left"/>
        <w:rPr>
          <w:sz w:val="28"/>
          <w:szCs w:val="28"/>
          <w:highlight w:val="none"/>
          <w:lang w:val="ru-RU"/>
        </w:rPr>
      </w:pPr>
      <w:r>
        <w:rPr>
          <w:sz w:val="28"/>
          <w:szCs w:val="28"/>
          <w:highlight w:val="none"/>
        </w:rPr>
        <w:drawing>
          <wp:inline distT="0" distB="0" distL="0" distR="0">
            <wp:extent cx="5631180" cy="3291840"/>
            <wp:effectExtent l="4445" t="4445" r="22225" b="1841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rPr>
          <w:rFonts w:hint="default"/>
          <w:lang w:val="en-US" w:eastAsia="zh-CN"/>
        </w:rPr>
      </w:pPr>
    </w:p>
    <w:p>
      <w:pPr>
        <w:jc w:val="center"/>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图</w:t>
      </w:r>
      <w:r>
        <w:rPr>
          <w:rFonts w:asciiTheme="minorEastAsia" w:hAnsiTheme="minorEastAsia" w:eastAsiaTheme="minorEastAsia"/>
          <w:sz w:val="20"/>
          <w:szCs w:val="20"/>
          <w:highlight w:val="none"/>
        </w:rPr>
        <w:t xml:space="preserve"> 1-</w:t>
      </w:r>
      <w:r>
        <w:rPr>
          <w:rFonts w:hint="eastAsia" w:asciiTheme="minorEastAsia" w:hAnsiTheme="minorEastAsia" w:eastAsiaTheme="minorEastAsia"/>
          <w:sz w:val="20"/>
          <w:szCs w:val="20"/>
          <w:highlight w:val="none"/>
        </w:rPr>
        <w:t xml:space="preserve">2 </w:t>
      </w:r>
      <w:r>
        <w:rPr>
          <w:rFonts w:asciiTheme="minorEastAsia" w:hAnsiTheme="minorEastAsia" w:eastAsiaTheme="minorEastAsia"/>
          <w:sz w:val="20"/>
          <w:szCs w:val="20"/>
          <w:highlight w:val="none"/>
        </w:rPr>
        <w:t>20</w:t>
      </w:r>
      <w:r>
        <w:rPr>
          <w:rFonts w:hint="eastAsia" w:asciiTheme="minorEastAsia" w:hAnsiTheme="minorEastAsia" w:eastAsiaTheme="minorEastAsia"/>
          <w:sz w:val="20"/>
          <w:szCs w:val="20"/>
          <w:highlight w:val="none"/>
          <w:lang w:val="en-US" w:eastAsia="zh-CN"/>
        </w:rPr>
        <w:t>23</w:t>
      </w:r>
      <w:r>
        <w:rPr>
          <w:rFonts w:hint="eastAsia" w:asciiTheme="minorEastAsia" w:hAnsiTheme="minorEastAsia" w:eastAsiaTheme="minorEastAsia"/>
          <w:sz w:val="20"/>
          <w:szCs w:val="20"/>
          <w:highlight w:val="none"/>
        </w:rPr>
        <w:t>届毕业生政治面貌结构</w:t>
      </w:r>
    </w:p>
    <w:p>
      <w:pPr>
        <w:pStyle w:val="6"/>
        <w:rPr>
          <w:lang w:val="ru-RU"/>
        </w:rPr>
      </w:pPr>
    </w:p>
    <w:p>
      <w:pPr>
        <w:ind w:firstLine="0" w:firstLineChars="0"/>
        <w:jc w:val="left"/>
        <w:rPr>
          <w:sz w:val="28"/>
          <w:szCs w:val="28"/>
          <w:highlight w:val="none"/>
          <w:lang w:val="ru-RU"/>
        </w:rPr>
      </w:pPr>
      <w:r>
        <w:rPr>
          <w:rFonts w:hint="eastAsia"/>
          <w:sz w:val="28"/>
          <w:szCs w:val="28"/>
          <w:highlight w:val="none"/>
          <w:lang w:val="en-US" w:eastAsia="zh-CN"/>
        </w:rPr>
        <w:t>5.</w:t>
      </w:r>
      <w:r>
        <w:rPr>
          <w:rFonts w:hint="eastAsia"/>
          <w:sz w:val="28"/>
          <w:szCs w:val="28"/>
          <w:highlight w:val="none"/>
          <w:lang w:val="ru-RU"/>
        </w:rPr>
        <w:t>困难生类别结构</w:t>
      </w:r>
    </w:p>
    <w:p>
      <w:pPr>
        <w:ind w:firstLine="560" w:firstLineChars="200"/>
        <w:jc w:val="left"/>
        <w:rPr>
          <w:rFonts w:hint="eastAsia" w:eastAsia="宋体"/>
          <w:sz w:val="28"/>
          <w:szCs w:val="28"/>
          <w:lang w:val="en-US" w:eastAsia="zh-CN"/>
        </w:rPr>
      </w:pPr>
      <w:r>
        <w:rPr>
          <w:sz w:val="28"/>
          <w:szCs w:val="28"/>
          <w:lang w:val="ru-RU"/>
        </w:rPr>
        <w:t>20</w:t>
      </w:r>
      <w:r>
        <w:rPr>
          <w:rFonts w:hint="eastAsia"/>
          <w:sz w:val="28"/>
          <w:szCs w:val="28"/>
          <w:lang w:val="en-US" w:eastAsia="zh-CN"/>
        </w:rPr>
        <w:t>23</w:t>
      </w:r>
      <w:r>
        <w:rPr>
          <w:rFonts w:hint="eastAsia"/>
          <w:sz w:val="28"/>
          <w:szCs w:val="28"/>
          <w:lang w:val="ru-RU"/>
        </w:rPr>
        <w:t>届毕业生中，非困难生</w:t>
      </w:r>
      <w:r>
        <w:rPr>
          <w:rFonts w:hint="eastAsia"/>
          <w:sz w:val="28"/>
          <w:szCs w:val="28"/>
          <w:lang w:val="en-US" w:eastAsia="zh-CN"/>
        </w:rPr>
        <w:t>3509</w:t>
      </w:r>
      <w:r>
        <w:rPr>
          <w:rFonts w:hint="eastAsia"/>
          <w:sz w:val="28"/>
          <w:szCs w:val="28"/>
          <w:lang w:val="ru-RU"/>
        </w:rPr>
        <w:t>人，占比为</w:t>
      </w:r>
      <w:r>
        <w:rPr>
          <w:rFonts w:hint="eastAsia"/>
          <w:sz w:val="28"/>
          <w:szCs w:val="28"/>
          <w:lang w:val="en-US" w:eastAsia="zh-CN"/>
        </w:rPr>
        <w:t>87.25</w:t>
      </w:r>
      <w:r>
        <w:rPr>
          <w:sz w:val="28"/>
          <w:szCs w:val="28"/>
          <w:lang w:val="ru-RU"/>
        </w:rPr>
        <w:t>%</w:t>
      </w:r>
      <w:r>
        <w:rPr>
          <w:rFonts w:hint="eastAsia"/>
          <w:sz w:val="28"/>
          <w:szCs w:val="28"/>
          <w:lang w:val="ru-RU"/>
        </w:rPr>
        <w:t>；</w:t>
      </w:r>
      <w:r>
        <w:rPr>
          <w:rFonts w:hint="eastAsia"/>
          <w:sz w:val="28"/>
          <w:szCs w:val="28"/>
          <w:lang w:val="en-US" w:eastAsia="zh-CN"/>
        </w:rPr>
        <w:t>脱贫家庭（原建档立卡）414人</w:t>
      </w:r>
      <w:r>
        <w:rPr>
          <w:rFonts w:hint="eastAsia"/>
          <w:sz w:val="28"/>
          <w:szCs w:val="28"/>
          <w:lang w:val="ru-RU"/>
        </w:rPr>
        <w:t>，占比为</w:t>
      </w:r>
      <w:r>
        <w:rPr>
          <w:rFonts w:hint="eastAsia"/>
          <w:sz w:val="28"/>
          <w:szCs w:val="28"/>
          <w:lang w:val="en-US" w:eastAsia="zh-CN"/>
        </w:rPr>
        <w:t>10.29</w:t>
      </w:r>
      <w:r>
        <w:rPr>
          <w:rFonts w:hint="eastAsia"/>
          <w:sz w:val="28"/>
          <w:szCs w:val="28"/>
          <w:lang w:val="ru-RU"/>
        </w:rPr>
        <w:t>%</w:t>
      </w:r>
      <w:r>
        <w:rPr>
          <w:rFonts w:hint="eastAsia"/>
          <w:sz w:val="28"/>
          <w:szCs w:val="28"/>
          <w:lang w:val="ru-RU" w:eastAsia="zh-CN"/>
        </w:rPr>
        <w:t>；</w:t>
      </w:r>
      <w:r>
        <w:rPr>
          <w:rFonts w:hint="eastAsia"/>
          <w:sz w:val="28"/>
          <w:szCs w:val="28"/>
          <w:lang w:val="en-US" w:eastAsia="zh-CN"/>
        </w:rPr>
        <w:t>低保家庭73人</w:t>
      </w:r>
      <w:r>
        <w:rPr>
          <w:rFonts w:hint="eastAsia"/>
          <w:sz w:val="28"/>
          <w:szCs w:val="28"/>
          <w:lang w:val="ru-RU"/>
        </w:rPr>
        <w:t>，</w:t>
      </w:r>
      <w:r>
        <w:rPr>
          <w:rFonts w:hint="eastAsia"/>
          <w:sz w:val="28"/>
          <w:szCs w:val="28"/>
          <w:lang w:val="en-US" w:eastAsia="zh-CN"/>
        </w:rPr>
        <w:t>占比为1.82%；身体残疾25人，</w:t>
      </w:r>
      <w:r>
        <w:rPr>
          <w:rFonts w:hint="eastAsia"/>
          <w:sz w:val="28"/>
          <w:szCs w:val="28"/>
          <w:lang w:val="ru-RU"/>
        </w:rPr>
        <w:t>占比为</w:t>
      </w:r>
      <w:r>
        <w:rPr>
          <w:rFonts w:hint="eastAsia"/>
          <w:sz w:val="28"/>
          <w:szCs w:val="28"/>
          <w:lang w:val="en-US" w:eastAsia="zh-CN"/>
        </w:rPr>
        <w:t>0.62%；零就业家庭1</w:t>
      </w:r>
      <w:r>
        <w:rPr>
          <w:rFonts w:hint="eastAsia"/>
          <w:sz w:val="28"/>
          <w:szCs w:val="28"/>
          <w:lang w:val="ru-RU"/>
        </w:rPr>
        <w:t>人</w:t>
      </w:r>
      <w:r>
        <w:rPr>
          <w:rFonts w:hint="eastAsia"/>
          <w:sz w:val="28"/>
          <w:szCs w:val="28"/>
          <w:lang w:val="ru-RU" w:eastAsia="zh-CN"/>
        </w:rPr>
        <w:t>，</w:t>
      </w:r>
      <w:r>
        <w:rPr>
          <w:rFonts w:hint="eastAsia"/>
          <w:sz w:val="28"/>
          <w:szCs w:val="28"/>
          <w:lang w:val="ru-RU"/>
        </w:rPr>
        <w:t>占比为</w:t>
      </w:r>
      <w:r>
        <w:rPr>
          <w:rFonts w:hint="eastAsia"/>
          <w:sz w:val="28"/>
          <w:szCs w:val="28"/>
          <w:lang w:val="en-US" w:eastAsia="zh-CN"/>
        </w:rPr>
        <w:t>0.02</w:t>
      </w:r>
      <w:r>
        <w:rPr>
          <w:sz w:val="28"/>
          <w:szCs w:val="28"/>
          <w:lang w:val="ru-RU"/>
        </w:rPr>
        <w:t>%</w:t>
      </w:r>
      <w:r>
        <w:rPr>
          <w:rFonts w:hint="eastAsia"/>
          <w:sz w:val="28"/>
          <w:szCs w:val="28"/>
          <w:lang w:val="ru-RU" w:eastAsia="zh-CN"/>
        </w:rPr>
        <w:t>。</w:t>
      </w:r>
    </w:p>
    <w:p>
      <w:pPr>
        <w:jc w:val="center"/>
        <w:rPr>
          <w:rFonts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表</w:t>
      </w:r>
      <w:r>
        <w:rPr>
          <w:rFonts w:asciiTheme="minorEastAsia" w:hAnsiTheme="minorEastAsia" w:eastAsiaTheme="minorEastAsia"/>
          <w:sz w:val="20"/>
          <w:szCs w:val="20"/>
          <w:highlight w:val="none"/>
          <w:lang w:val="ru-RU"/>
        </w:rPr>
        <w:t xml:space="preserve"> 1-</w:t>
      </w:r>
      <w:r>
        <w:rPr>
          <w:rFonts w:hint="eastAsia" w:asciiTheme="minorEastAsia" w:hAnsiTheme="minorEastAsia" w:eastAsiaTheme="minorEastAsia"/>
          <w:sz w:val="20"/>
          <w:szCs w:val="20"/>
          <w:highlight w:val="none"/>
          <w:lang w:val="ru-RU"/>
        </w:rPr>
        <w:t>4</w:t>
      </w:r>
      <w:r>
        <w:rPr>
          <w:rFonts w:asciiTheme="minorEastAsia" w:hAnsiTheme="minorEastAsia" w:eastAsiaTheme="minorEastAsia"/>
          <w:sz w:val="20"/>
          <w:szCs w:val="20"/>
          <w:highlight w:val="none"/>
          <w:lang w:val="ru-RU"/>
        </w:rPr>
        <w:t xml:space="preserve"> 20</w:t>
      </w:r>
      <w:r>
        <w:rPr>
          <w:rFonts w:hint="eastAsia" w:asciiTheme="minorEastAsia" w:hAnsiTheme="minorEastAsia" w:eastAsiaTheme="minorEastAsia"/>
          <w:sz w:val="20"/>
          <w:szCs w:val="20"/>
          <w:highlight w:val="none"/>
          <w:lang w:val="en-US" w:eastAsia="zh-CN"/>
        </w:rPr>
        <w:t>23</w:t>
      </w:r>
      <w:r>
        <w:rPr>
          <w:rFonts w:hint="eastAsia" w:asciiTheme="minorEastAsia" w:hAnsiTheme="minorEastAsia" w:eastAsiaTheme="minorEastAsia"/>
          <w:sz w:val="20"/>
          <w:szCs w:val="20"/>
          <w:highlight w:val="none"/>
          <w:lang w:val="ru-RU"/>
        </w:rPr>
        <w:t>届毕业生困难生类别结构</w:t>
      </w:r>
    </w:p>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单位：人数（人）、比例（%）</w:t>
      </w:r>
    </w:p>
    <w:tbl>
      <w:tblPr>
        <w:tblStyle w:val="14"/>
        <w:tblW w:w="4998" w:type="pct"/>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2837"/>
        <w:gridCol w:w="2841"/>
        <w:gridCol w:w="2841"/>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305" w:hRule="atLeast"/>
        </w:trPr>
        <w:tc>
          <w:tcPr>
            <w:tcW w:w="1665" w:type="pct"/>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困难生类别</w:t>
            </w:r>
          </w:p>
        </w:tc>
        <w:tc>
          <w:tcPr>
            <w:tcW w:w="1667" w:type="pct"/>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人数</w:t>
            </w:r>
          </w:p>
        </w:tc>
        <w:tc>
          <w:tcPr>
            <w:tcW w:w="1667" w:type="pct"/>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ru-RU"/>
              </w:rPr>
              <w:t>非困难生</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3509</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87.25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59"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脱贫家庭（原建档立卡）</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414</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10.29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4"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低保家庭</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73</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1.82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93"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身体残疾</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25</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0.62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67"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零就业家庭</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0.02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313" w:hRule="atLeast"/>
        </w:trPr>
        <w:tc>
          <w:tcPr>
            <w:tcW w:w="1665" w:type="pct"/>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eastAsia" w:asciiTheme="minorEastAsia" w:hAnsiTheme="minorEastAsia" w:eastAsiaTheme="minorEastAsia" w:cstheme="majorBidi"/>
                <w:b/>
                <w:bCs/>
                <w:kern w:val="2"/>
                <w:sz w:val="20"/>
                <w:szCs w:val="20"/>
                <w:highlight w:val="none"/>
                <w:lang w:val="ru-RU" w:eastAsia="zh-CN" w:bidi="ar-SA"/>
              </w:rPr>
            </w:pPr>
            <w:r>
              <w:rPr>
                <w:rFonts w:hint="eastAsia" w:asciiTheme="minorEastAsia" w:hAnsiTheme="minorEastAsia" w:eastAsiaTheme="minorEastAsia" w:cstheme="majorBidi"/>
                <w:b/>
                <w:bCs/>
                <w:sz w:val="20"/>
                <w:szCs w:val="20"/>
                <w:highlight w:val="none"/>
                <w:lang w:val="ru-RU"/>
              </w:rPr>
              <w:t>总计</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bCs/>
                <w:sz w:val="20"/>
                <w:szCs w:val="20"/>
                <w:highlight w:val="none"/>
                <w:lang w:val="en-US" w:eastAsia="zh-CN"/>
              </w:rPr>
              <w:t>4022</w:t>
            </w:r>
          </w:p>
        </w:tc>
        <w:tc>
          <w:tcPr>
            <w:tcW w:w="1667" w:type="pct"/>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top"/>
          </w:tcPr>
          <w:p>
            <w:pPr>
              <w:jc w:val="center"/>
              <w:rPr>
                <w:rFonts w:hint="eastAsia" w:cs="Times New Roman" w:asciiTheme="minorEastAsia" w:hAnsiTheme="minorEastAsia" w:eastAsiaTheme="minorEastAsia"/>
                <w:b/>
                <w:bCs/>
                <w:kern w:val="2"/>
                <w:sz w:val="20"/>
                <w:szCs w:val="20"/>
                <w:highlight w:val="none"/>
                <w:lang w:val="ru-RU" w:eastAsia="zh-CN" w:bidi="ar-SA"/>
              </w:rPr>
            </w:pPr>
            <w:r>
              <w:rPr>
                <w:rFonts w:hint="eastAsia" w:asciiTheme="minorEastAsia" w:hAnsiTheme="minorEastAsia" w:eastAsiaTheme="minorEastAsia"/>
                <w:b/>
                <w:bCs/>
                <w:sz w:val="20"/>
                <w:szCs w:val="20"/>
                <w:highlight w:val="none"/>
                <w:lang w:val="ru-RU"/>
              </w:rPr>
              <w:t>100.00</w:t>
            </w:r>
          </w:p>
        </w:tc>
      </w:tr>
    </w:tbl>
    <w:p>
      <w:pPr>
        <w:pStyle w:val="10"/>
        <w:ind w:left="0" w:leftChars="0" w:firstLine="0" w:firstLineChars="0"/>
        <w:rPr>
          <w:rFonts w:hint="eastAsia"/>
          <w:lang w:val="en-US" w:eastAsia="zh-CN"/>
        </w:rPr>
      </w:pPr>
    </w:p>
    <w:p>
      <w:pPr>
        <w:numPr>
          <w:ilvl w:val="0"/>
          <w:numId w:val="2"/>
        </w:numPr>
        <w:ind w:left="0" w:leftChars="0" w:firstLine="0" w:firstLineChars="0"/>
        <w:jc w:val="both"/>
        <w:rPr>
          <w:rFonts w:hint="eastAsia"/>
          <w:sz w:val="28"/>
          <w:szCs w:val="28"/>
          <w:highlight w:val="none"/>
          <w:lang w:val="en-US" w:eastAsia="zh-CN"/>
        </w:rPr>
      </w:pPr>
      <w:r>
        <w:rPr>
          <w:rFonts w:hint="eastAsia"/>
          <w:sz w:val="28"/>
          <w:szCs w:val="28"/>
          <w:highlight w:val="none"/>
          <w:lang w:val="en-US" w:eastAsia="zh-CN"/>
        </w:rPr>
        <w:t>毕业生就业类型</w:t>
      </w:r>
    </w:p>
    <w:p>
      <w:pPr>
        <w:numPr>
          <w:ilvl w:val="0"/>
          <w:numId w:val="0"/>
        </w:numPr>
        <w:ind w:leftChars="0" w:firstLine="560"/>
        <w:jc w:val="both"/>
        <w:rPr>
          <w:rFonts w:hint="eastAsia"/>
          <w:sz w:val="28"/>
          <w:szCs w:val="28"/>
          <w:highlight w:val="none"/>
          <w:lang w:val="en-US" w:eastAsia="zh-CN"/>
        </w:rPr>
      </w:pPr>
      <w:r>
        <w:rPr>
          <w:rFonts w:hint="eastAsia"/>
          <w:sz w:val="28"/>
          <w:szCs w:val="28"/>
          <w:highlight w:val="none"/>
          <w:lang w:val="en-US" w:eastAsia="zh-CN"/>
        </w:rPr>
        <w:t>我校毕业生就业类别分12种，其中已就业包括签就业协议形式就业，签劳动合同形式就业，其他录用形式就业，应征义务兵，自主创业，自由职业，专科升普通本科，出国、出境8种就业类别；未就业类别包括求职中，拟应征入伍，不就业拟升学，暂不就业（无就业意愿）4种就业类别。</w:t>
      </w:r>
    </w:p>
    <w:p>
      <w:pPr>
        <w:numPr>
          <w:ilvl w:val="0"/>
          <w:numId w:val="5"/>
        </w:numPr>
        <w:ind w:leftChars="0" w:firstLine="0"/>
        <w:jc w:val="both"/>
        <w:rPr>
          <w:rFonts w:hint="eastAsia"/>
          <w:sz w:val="28"/>
          <w:szCs w:val="28"/>
          <w:highlight w:val="none"/>
          <w:lang w:val="en-US" w:eastAsia="zh-CN"/>
        </w:rPr>
      </w:pPr>
      <w:r>
        <w:rPr>
          <w:rFonts w:hint="eastAsia"/>
          <w:sz w:val="28"/>
          <w:szCs w:val="28"/>
          <w:highlight w:val="none"/>
          <w:lang w:val="en-US" w:eastAsia="zh-CN"/>
        </w:rPr>
        <w:t>总体毕业去向落实率</w:t>
      </w:r>
    </w:p>
    <w:p>
      <w:pPr>
        <w:numPr>
          <w:ilvl w:val="0"/>
          <w:numId w:val="0"/>
        </w:numPr>
        <w:ind w:left="0" w:leftChars="0" w:firstLine="560"/>
        <w:jc w:val="both"/>
        <w:rPr>
          <w:rFonts w:hint="eastAsia" w:asciiTheme="minorEastAsia" w:hAnsiTheme="minorEastAsia" w:eastAsiaTheme="minorEastAsia"/>
          <w:sz w:val="20"/>
          <w:szCs w:val="20"/>
          <w:highlight w:val="none"/>
          <w:lang w:val="ru-RU"/>
        </w:rPr>
      </w:pPr>
      <w:r>
        <w:rPr>
          <w:rFonts w:hint="eastAsia"/>
          <w:sz w:val="28"/>
          <w:szCs w:val="28"/>
          <w:highlight w:val="none"/>
          <w:lang w:val="en-US" w:eastAsia="zh-CN"/>
        </w:rPr>
        <w:t>2023届毕业生初次毕业去向落实率为89.96%。截止2023年12月6日，2023届毕业生已落实毕业去向3845人，毕业去向落实率95.60%；未落实毕业去向为177人，未落实毕业去向率4.40% 。已落实毕业去向的毕业中就业类别位列前三的分别是：签劳动合同形式就业（2322人，占比60.39%）、其他录用形式就业（477人，占比12.41%）、签就业协议形式就业（447人，占比11.63%）。</w:t>
      </w:r>
    </w:p>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ru-RU"/>
        </w:rPr>
        <w:t>表</w:t>
      </w:r>
      <w:r>
        <w:rPr>
          <w:rFonts w:asciiTheme="minorEastAsia" w:hAnsiTheme="minorEastAsia" w:eastAsiaTheme="minorEastAsia"/>
          <w:sz w:val="20"/>
          <w:szCs w:val="20"/>
          <w:highlight w:val="none"/>
          <w:lang w:val="ru-RU"/>
        </w:rPr>
        <w:t xml:space="preserve"> 1-</w:t>
      </w:r>
      <w:r>
        <w:rPr>
          <w:rFonts w:hint="eastAsia" w:asciiTheme="minorEastAsia" w:hAnsiTheme="minorEastAsia" w:eastAsiaTheme="minorEastAsia"/>
          <w:sz w:val="20"/>
          <w:szCs w:val="20"/>
          <w:highlight w:val="none"/>
          <w:lang w:val="en-US" w:eastAsia="zh-CN"/>
        </w:rPr>
        <w:t xml:space="preserve">5 </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2023届毕业生就业类别分布</w:t>
      </w:r>
    </w:p>
    <w:p>
      <w:pPr>
        <w:jc w:val="right"/>
        <w:rPr>
          <w:rFonts w:hint="eastAsia"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单位：人数（人）、比例（%）</w:t>
      </w:r>
    </w:p>
    <w:tbl>
      <w:tblPr>
        <w:tblStyle w:val="14"/>
        <w:tblW w:w="0" w:type="auto"/>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2840"/>
        <w:gridCol w:w="2841"/>
        <w:gridCol w:w="2841"/>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Ex>
        <w:tc>
          <w:tcPr>
            <w:tcW w:w="284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hint="default" w:asciiTheme="minorEastAsia" w:hAnsiTheme="minorEastAsia" w:eastAsiaTheme="minorEastAsia" w:cstheme="majorBidi"/>
                <w:b w:val="0"/>
                <w:bCs/>
                <w:sz w:val="20"/>
                <w:szCs w:val="20"/>
                <w:highlight w:val="none"/>
                <w:lang w:val="en-US" w:eastAsia="zh-CN"/>
              </w:rPr>
            </w:pPr>
            <w:r>
              <w:rPr>
                <w:rFonts w:hint="eastAsia" w:asciiTheme="minorEastAsia" w:hAnsiTheme="minorEastAsia" w:eastAsiaTheme="minorEastAsia" w:cstheme="majorBidi"/>
                <w:b w:val="0"/>
                <w:bCs/>
                <w:sz w:val="20"/>
                <w:szCs w:val="20"/>
                <w:highlight w:val="none"/>
                <w:lang w:val="en-US" w:eastAsia="zh-CN"/>
              </w:rPr>
              <w:t>就业类别</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val="0"/>
                <w:bCs/>
                <w:sz w:val="20"/>
                <w:szCs w:val="20"/>
                <w:highlight w:val="none"/>
                <w:lang w:val="en-US" w:eastAsia="zh-CN"/>
              </w:rPr>
              <w:t>毕业生</w:t>
            </w:r>
            <w:r>
              <w:rPr>
                <w:rFonts w:hint="eastAsia" w:asciiTheme="minorEastAsia" w:hAnsiTheme="minorEastAsia" w:eastAsiaTheme="minorEastAsia" w:cstheme="majorBidi"/>
                <w:b w:val="0"/>
                <w:bCs/>
                <w:sz w:val="20"/>
                <w:szCs w:val="20"/>
                <w:highlight w:val="none"/>
                <w:lang w:val="ru-RU"/>
              </w:rPr>
              <w:t>人数</w:t>
            </w:r>
          </w:p>
        </w:tc>
        <w:tc>
          <w:tcPr>
            <w:tcW w:w="2841"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themeFill="accent5"/>
          </w:tcPr>
          <w:p>
            <w:pPr>
              <w:spacing w:before="0" w:after="0" w:line="240" w:lineRule="auto"/>
              <w:jc w:val="center"/>
              <w:rPr>
                <w:rFonts w:hint="eastAsia" w:asciiTheme="minorEastAsia" w:hAnsiTheme="minorEastAsia" w:eastAsiaTheme="minorEastAsia" w:cstheme="majorBidi"/>
                <w:b w:val="0"/>
                <w:bCs/>
                <w:sz w:val="20"/>
                <w:szCs w:val="20"/>
                <w:highlight w:val="none"/>
                <w:lang w:val="ru-RU" w:eastAsia="zh-CN"/>
              </w:rPr>
            </w:pPr>
            <w:r>
              <w:rPr>
                <w:rFonts w:hint="eastAsia" w:asciiTheme="minorEastAsia" w:hAnsiTheme="minorEastAsia" w:eastAsiaTheme="minorEastAsia" w:cstheme="majorBidi"/>
                <w:b w:val="0"/>
                <w:bCs/>
                <w:sz w:val="20"/>
                <w:szCs w:val="20"/>
                <w:highlight w:val="none"/>
                <w:lang w:val="en-US" w:eastAsia="zh-CN"/>
              </w:rPr>
              <w:t>占比</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签劳动合同形式就业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2322</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60.39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其他录用形式就业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477</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12.41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签就业协议形式就业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sz w:val="20"/>
                <w:szCs w:val="20"/>
                <w:highlight w:val="none"/>
                <w:lang w:val="en-US" w:eastAsia="zh-CN"/>
              </w:rPr>
              <w:t>447</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11.63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sz w:val="20"/>
                <w:szCs w:val="20"/>
                <w:highlight w:val="none"/>
                <w:lang w:val="en-US"/>
              </w:rPr>
            </w:pPr>
            <w:r>
              <w:rPr>
                <w:rFonts w:hint="eastAsia" w:ascii="宋体" w:hAnsi="宋体" w:cs="宋体"/>
                <w:i w:val="0"/>
                <w:iCs w:val="0"/>
                <w:color w:val="000000"/>
                <w:kern w:val="0"/>
                <w:sz w:val="20"/>
                <w:szCs w:val="20"/>
                <w:highlight w:val="none"/>
                <w:u w:val="none"/>
                <w:lang w:val="en-US" w:eastAsia="zh-CN" w:bidi="ar"/>
              </w:rPr>
              <w:t>自由职业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213</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5.54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75" w:hRule="atLeast"/>
        </w:trPr>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应征义务兵</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193</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5.02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专科升普通本科</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124</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3.22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asciiTheme="minorEastAsia" w:hAnsiTheme="minorEastAsia" w:eastAsiaTheme="minorEastAsia" w:cstheme="majorBidi"/>
                <w:b w:val="0"/>
                <w:bCs/>
                <w:sz w:val="20"/>
                <w:szCs w:val="20"/>
                <w:highlight w:val="none"/>
                <w:lang w:val="ru-RU"/>
              </w:rPr>
            </w:pPr>
            <w:r>
              <w:rPr>
                <w:rFonts w:hint="eastAsia" w:ascii="宋体" w:hAnsi="宋体" w:eastAsia="宋体" w:cs="宋体"/>
                <w:i w:val="0"/>
                <w:iCs w:val="0"/>
                <w:color w:val="000000"/>
                <w:kern w:val="0"/>
                <w:sz w:val="20"/>
                <w:szCs w:val="20"/>
                <w:highlight w:val="none"/>
                <w:u w:val="none"/>
                <w:lang w:val="en-US" w:eastAsia="zh-CN" w:bidi="ar"/>
              </w:rPr>
              <w:t>自主创业</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68</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1.77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top"/>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出国、出境</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top"/>
          </w:tcPr>
          <w:p>
            <w:pPr>
              <w:keepNext w:val="0"/>
              <w:keepLines w:val="0"/>
              <w:widowControl/>
              <w:suppressLineNumbers w:val="0"/>
              <w:jc w:val="center"/>
              <w:textAlignment w:val="top"/>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1</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center"/>
          </w:tcPr>
          <w:p>
            <w:pPr>
              <w:keepNext w:val="0"/>
              <w:keepLines w:val="0"/>
              <w:widowControl/>
              <w:suppressLineNumbers w:val="0"/>
              <w:jc w:val="center"/>
              <w:textAlignment w:val="top"/>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0.03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4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cPr>
          <w:p>
            <w:pPr>
              <w:jc w:val="center"/>
              <w:rPr>
                <w:rFonts w:asciiTheme="minorEastAsia" w:hAnsiTheme="minorEastAsia" w:eastAsiaTheme="minorEastAsia" w:cstheme="majorBidi"/>
                <w:b w:val="0"/>
                <w:bCs/>
                <w:sz w:val="20"/>
                <w:szCs w:val="20"/>
                <w:highlight w:val="none"/>
                <w:lang w:val="ru-RU"/>
              </w:rPr>
            </w:pPr>
            <w:r>
              <w:rPr>
                <w:rFonts w:hint="eastAsia" w:asciiTheme="minorEastAsia" w:hAnsiTheme="minorEastAsia" w:eastAsiaTheme="minorEastAsia" w:cstheme="majorBidi"/>
                <w:b/>
                <w:bCs/>
                <w:sz w:val="20"/>
                <w:szCs w:val="20"/>
                <w:highlight w:val="none"/>
                <w:lang w:val="ru-RU"/>
              </w:rPr>
              <w:t>总计</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cPr>
          <w:p>
            <w:pPr>
              <w:jc w:val="center"/>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sz w:val="20"/>
                <w:szCs w:val="20"/>
                <w:highlight w:val="none"/>
                <w:lang w:val="en-US" w:eastAsia="zh-CN"/>
              </w:rPr>
              <w:t>3485</w:t>
            </w:r>
          </w:p>
        </w:tc>
        <w:tc>
          <w:tcPr>
            <w:tcW w:w="2841"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cPr>
          <w:p>
            <w:pPr>
              <w:jc w:val="center"/>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sz w:val="20"/>
                <w:szCs w:val="20"/>
                <w:highlight w:val="none"/>
                <w:lang w:val="en-US" w:eastAsia="zh-CN"/>
              </w:rPr>
              <w:t>100.00</w:t>
            </w:r>
          </w:p>
        </w:tc>
      </w:tr>
    </w:tbl>
    <w:p>
      <w:pPr>
        <w:numPr>
          <w:ilvl w:val="0"/>
          <w:numId w:val="0"/>
        </w:numPr>
        <w:jc w:val="both"/>
        <w:rPr>
          <w:rFonts w:hint="eastAsia"/>
          <w:sz w:val="28"/>
          <w:szCs w:val="28"/>
          <w:highlight w:val="none"/>
          <w:lang w:val="en-US" w:eastAsia="zh-CN"/>
        </w:rPr>
      </w:pPr>
    </w:p>
    <w:p>
      <w:pPr>
        <w:numPr>
          <w:ilvl w:val="0"/>
          <w:numId w:val="5"/>
        </w:numPr>
        <w:ind w:left="0" w:leftChars="0" w:firstLine="0" w:firstLineChars="0"/>
        <w:jc w:val="both"/>
        <w:rPr>
          <w:rFonts w:hint="eastAsia"/>
          <w:sz w:val="28"/>
          <w:szCs w:val="28"/>
          <w:highlight w:val="none"/>
          <w:lang w:val="en-US" w:eastAsia="zh-CN"/>
        </w:rPr>
      </w:pPr>
      <w:r>
        <w:rPr>
          <w:rFonts w:hint="eastAsia"/>
          <w:sz w:val="28"/>
          <w:szCs w:val="28"/>
          <w:highlight w:val="none"/>
          <w:lang w:val="en-US" w:eastAsia="zh-CN"/>
        </w:rPr>
        <w:t>分专业毕业去向落实率</w:t>
      </w:r>
    </w:p>
    <w:p>
      <w:pPr>
        <w:ind w:firstLine="560" w:firstLineChars="200"/>
        <w:jc w:val="left"/>
        <w:rPr>
          <w:rFonts w:hint="default"/>
          <w:sz w:val="28"/>
          <w:szCs w:val="28"/>
          <w:highlight w:val="none"/>
          <w:lang w:val="en-US" w:eastAsia="zh-CN"/>
        </w:rPr>
      </w:pPr>
      <w:r>
        <w:rPr>
          <w:rFonts w:hint="eastAsia"/>
          <w:sz w:val="28"/>
          <w:szCs w:val="28"/>
          <w:highlight w:val="none"/>
          <w:lang w:val="en-US" w:eastAsia="zh-CN"/>
        </w:rPr>
        <w:t>2023届毕业生毕业去向落实率排名前三的二级学院为：信息技术学院</w:t>
      </w:r>
      <w:r>
        <w:rPr>
          <w:rFonts w:hint="eastAsia"/>
          <w:sz w:val="28"/>
          <w:szCs w:val="28"/>
          <w:highlight w:val="none"/>
          <w:lang w:val="ru-RU" w:eastAsia="zh-CN"/>
        </w:rPr>
        <w:t>（</w:t>
      </w:r>
      <w:r>
        <w:rPr>
          <w:rFonts w:hint="eastAsia"/>
          <w:sz w:val="28"/>
          <w:szCs w:val="28"/>
          <w:highlight w:val="none"/>
          <w:lang w:val="en-US" w:eastAsia="zh-CN"/>
        </w:rPr>
        <w:t>已落实毕业去向582</w:t>
      </w:r>
      <w:r>
        <w:rPr>
          <w:rFonts w:hint="eastAsia"/>
          <w:sz w:val="28"/>
          <w:szCs w:val="28"/>
          <w:highlight w:val="none"/>
          <w:lang w:val="ru-RU"/>
        </w:rPr>
        <w:t>人，占比</w:t>
      </w:r>
      <w:r>
        <w:rPr>
          <w:rFonts w:hint="eastAsia"/>
          <w:sz w:val="28"/>
          <w:szCs w:val="28"/>
          <w:highlight w:val="none"/>
          <w:lang w:val="en-US" w:eastAsia="zh-CN"/>
        </w:rPr>
        <w:t>97.65</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艺术创意学院</w:t>
      </w:r>
      <w:r>
        <w:rPr>
          <w:rFonts w:hint="eastAsia"/>
          <w:sz w:val="28"/>
          <w:szCs w:val="28"/>
          <w:highlight w:val="none"/>
          <w:lang w:val="ru-RU" w:eastAsia="zh-CN"/>
        </w:rPr>
        <w:t>（</w:t>
      </w:r>
      <w:r>
        <w:rPr>
          <w:rFonts w:hint="eastAsia"/>
          <w:sz w:val="28"/>
          <w:szCs w:val="28"/>
          <w:highlight w:val="none"/>
          <w:lang w:val="en-US" w:eastAsia="zh-CN"/>
        </w:rPr>
        <w:t>已落实毕业去向688</w:t>
      </w:r>
      <w:r>
        <w:rPr>
          <w:rFonts w:hint="eastAsia"/>
          <w:sz w:val="28"/>
          <w:szCs w:val="28"/>
          <w:highlight w:val="none"/>
          <w:lang w:val="ru-RU"/>
        </w:rPr>
        <w:t>人，占比</w:t>
      </w:r>
      <w:r>
        <w:rPr>
          <w:rFonts w:hint="eastAsia"/>
          <w:sz w:val="28"/>
          <w:szCs w:val="28"/>
          <w:highlight w:val="none"/>
          <w:lang w:val="en-US" w:eastAsia="zh-CN"/>
        </w:rPr>
        <w:t>96.49</w:t>
      </w:r>
      <w:r>
        <w:rPr>
          <w:sz w:val="28"/>
          <w:szCs w:val="28"/>
          <w:highlight w:val="none"/>
          <w:lang w:val="ru-RU"/>
        </w:rPr>
        <w:t>%</w:t>
      </w:r>
      <w:r>
        <w:rPr>
          <w:rFonts w:hint="eastAsia"/>
          <w:sz w:val="28"/>
          <w:szCs w:val="28"/>
          <w:highlight w:val="none"/>
          <w:lang w:val="ru-RU" w:eastAsia="zh-CN"/>
        </w:rPr>
        <w:t>）、</w:t>
      </w:r>
      <w:r>
        <w:rPr>
          <w:rFonts w:hint="eastAsia"/>
          <w:sz w:val="28"/>
          <w:szCs w:val="28"/>
          <w:highlight w:val="none"/>
          <w:lang w:val="en-US" w:eastAsia="zh-CN"/>
        </w:rPr>
        <w:t>汽车与智能制造学院</w:t>
      </w:r>
      <w:r>
        <w:rPr>
          <w:rFonts w:hint="eastAsia"/>
          <w:sz w:val="28"/>
          <w:szCs w:val="28"/>
          <w:highlight w:val="none"/>
          <w:lang w:val="ru-RU" w:eastAsia="zh-CN"/>
        </w:rPr>
        <w:t>（</w:t>
      </w:r>
      <w:r>
        <w:rPr>
          <w:rFonts w:hint="eastAsia"/>
          <w:sz w:val="28"/>
          <w:szCs w:val="28"/>
          <w:highlight w:val="none"/>
          <w:lang w:val="en-US" w:eastAsia="zh-CN"/>
        </w:rPr>
        <w:t>已落实毕业去向342</w:t>
      </w:r>
      <w:r>
        <w:rPr>
          <w:rFonts w:hint="eastAsia"/>
          <w:sz w:val="28"/>
          <w:szCs w:val="28"/>
          <w:highlight w:val="none"/>
          <w:lang w:val="ru-RU"/>
        </w:rPr>
        <w:t>人，占比</w:t>
      </w:r>
      <w:r>
        <w:rPr>
          <w:rFonts w:hint="eastAsia"/>
          <w:sz w:val="28"/>
          <w:szCs w:val="28"/>
          <w:highlight w:val="none"/>
          <w:lang w:val="en-US" w:eastAsia="zh-CN"/>
        </w:rPr>
        <w:t>96.07</w:t>
      </w:r>
      <w:r>
        <w:rPr>
          <w:rFonts w:hint="eastAsia"/>
          <w:sz w:val="28"/>
          <w:szCs w:val="28"/>
          <w:highlight w:val="none"/>
          <w:lang w:val="ru-RU"/>
        </w:rPr>
        <w:t>%</w:t>
      </w:r>
      <w:r>
        <w:rPr>
          <w:rFonts w:hint="eastAsia"/>
          <w:sz w:val="28"/>
          <w:szCs w:val="28"/>
          <w:highlight w:val="none"/>
          <w:lang w:val="ru-RU" w:eastAsia="zh-CN"/>
        </w:rPr>
        <w:t>）</w:t>
      </w:r>
      <w:r>
        <w:rPr>
          <w:rFonts w:hint="eastAsia"/>
          <w:sz w:val="28"/>
          <w:szCs w:val="28"/>
          <w:highlight w:val="none"/>
          <w:lang w:val="ru-RU"/>
        </w:rPr>
        <w:t>。</w:t>
      </w:r>
      <w:r>
        <w:rPr>
          <w:rFonts w:hint="eastAsia"/>
          <w:sz w:val="28"/>
          <w:szCs w:val="28"/>
          <w:highlight w:val="none"/>
          <w:lang w:val="en-US" w:eastAsia="zh-CN"/>
        </w:rPr>
        <w:t>毕业生去向落实率排名前五的专业分别是：服装与服饰设计（已落实毕业去向90</w:t>
      </w:r>
      <w:r>
        <w:rPr>
          <w:rFonts w:hint="eastAsia"/>
          <w:sz w:val="28"/>
          <w:szCs w:val="28"/>
          <w:highlight w:val="none"/>
          <w:lang w:val="ru-RU"/>
        </w:rPr>
        <w:t>人</w:t>
      </w:r>
      <w:r>
        <w:rPr>
          <w:rFonts w:hint="eastAsia"/>
          <w:sz w:val="28"/>
          <w:szCs w:val="28"/>
          <w:highlight w:val="none"/>
          <w:lang w:val="en-US" w:eastAsia="zh-CN"/>
        </w:rPr>
        <w:t>）、建筑装饰工程技术</w:t>
      </w:r>
      <w:r>
        <w:rPr>
          <w:rFonts w:hint="eastAsia"/>
          <w:sz w:val="28"/>
          <w:szCs w:val="28"/>
          <w:highlight w:val="none"/>
          <w:lang w:val="ru-RU" w:eastAsia="zh-CN"/>
        </w:rPr>
        <w:t>（</w:t>
      </w:r>
      <w:r>
        <w:rPr>
          <w:rFonts w:hint="eastAsia"/>
          <w:sz w:val="28"/>
          <w:szCs w:val="28"/>
          <w:highlight w:val="none"/>
          <w:lang w:val="en-US" w:eastAsia="zh-CN"/>
        </w:rPr>
        <w:t>已落实毕业去向141</w:t>
      </w:r>
      <w:r>
        <w:rPr>
          <w:rFonts w:hint="eastAsia"/>
          <w:sz w:val="28"/>
          <w:szCs w:val="28"/>
          <w:highlight w:val="none"/>
          <w:lang w:val="ru-RU" w:eastAsia="zh-CN"/>
        </w:rPr>
        <w:t>人）、</w:t>
      </w:r>
      <w:r>
        <w:rPr>
          <w:rFonts w:hint="eastAsia"/>
          <w:sz w:val="28"/>
          <w:szCs w:val="28"/>
          <w:highlight w:val="none"/>
          <w:lang w:val="en-US" w:eastAsia="zh-CN"/>
        </w:rPr>
        <w:t>计算机应用技术</w:t>
      </w:r>
      <w:r>
        <w:rPr>
          <w:rFonts w:hint="eastAsia"/>
          <w:sz w:val="28"/>
          <w:szCs w:val="28"/>
          <w:highlight w:val="none"/>
          <w:lang w:val="ru-RU" w:eastAsia="zh-CN"/>
        </w:rPr>
        <w:t>（</w:t>
      </w:r>
      <w:r>
        <w:rPr>
          <w:rFonts w:hint="eastAsia"/>
          <w:sz w:val="28"/>
          <w:szCs w:val="28"/>
          <w:highlight w:val="none"/>
          <w:lang w:val="en-US" w:eastAsia="zh-CN"/>
        </w:rPr>
        <w:t>已落实毕业去向468</w:t>
      </w:r>
      <w:r>
        <w:rPr>
          <w:rFonts w:hint="eastAsia"/>
          <w:sz w:val="28"/>
          <w:szCs w:val="28"/>
          <w:highlight w:val="none"/>
          <w:lang w:val="ru-RU" w:eastAsia="zh-CN"/>
        </w:rPr>
        <w:t>人）、机电一体化技术（</w:t>
      </w:r>
      <w:r>
        <w:rPr>
          <w:rFonts w:hint="eastAsia"/>
          <w:sz w:val="28"/>
          <w:szCs w:val="28"/>
          <w:highlight w:val="none"/>
          <w:lang w:val="en-US" w:eastAsia="zh-CN"/>
        </w:rPr>
        <w:t>已落实毕业去向215</w:t>
      </w:r>
      <w:r>
        <w:rPr>
          <w:rFonts w:hint="eastAsia"/>
          <w:sz w:val="28"/>
          <w:szCs w:val="28"/>
          <w:highlight w:val="none"/>
          <w:lang w:val="ru-RU" w:eastAsia="zh-CN"/>
        </w:rPr>
        <w:t>人）、</w:t>
      </w:r>
      <w:r>
        <w:rPr>
          <w:rFonts w:hint="eastAsia"/>
          <w:sz w:val="28"/>
          <w:szCs w:val="28"/>
          <w:highlight w:val="none"/>
          <w:lang w:val="en-US" w:eastAsia="zh-CN"/>
        </w:rPr>
        <w:t>物联网应用技术</w:t>
      </w:r>
      <w:r>
        <w:rPr>
          <w:rFonts w:hint="eastAsia"/>
          <w:sz w:val="28"/>
          <w:szCs w:val="28"/>
          <w:highlight w:val="none"/>
          <w:lang w:val="ru-RU" w:eastAsia="zh-CN"/>
        </w:rPr>
        <w:t>（</w:t>
      </w:r>
      <w:r>
        <w:rPr>
          <w:rFonts w:hint="eastAsia"/>
          <w:sz w:val="28"/>
          <w:szCs w:val="28"/>
          <w:highlight w:val="none"/>
          <w:lang w:val="en-US" w:eastAsia="zh-CN"/>
        </w:rPr>
        <w:t>已落实毕业去向35</w:t>
      </w:r>
      <w:r>
        <w:rPr>
          <w:rFonts w:hint="eastAsia"/>
          <w:sz w:val="28"/>
          <w:szCs w:val="28"/>
          <w:highlight w:val="none"/>
          <w:lang w:val="ru-RU" w:eastAsia="zh-CN"/>
        </w:rPr>
        <w:t>人）。</w:t>
      </w:r>
    </w:p>
    <w:p>
      <w:pPr>
        <w:jc w:val="center"/>
        <w:rPr>
          <w:rFonts w:hint="default" w:asciiTheme="minorEastAsia" w:hAnsiTheme="minorEastAsia" w:eastAsiaTheme="minorEastAsia"/>
          <w:sz w:val="20"/>
          <w:szCs w:val="20"/>
          <w:highlight w:val="yellow"/>
          <w:lang w:val="en-US" w:eastAsia="zh-CN"/>
        </w:rPr>
      </w:pPr>
      <w:r>
        <w:rPr>
          <w:rFonts w:hint="eastAsia"/>
          <w:sz w:val="28"/>
          <w:szCs w:val="28"/>
          <w:highlight w:val="none"/>
          <w:lang w:val="en-US" w:eastAsia="zh-CN"/>
        </w:rPr>
        <w:t xml:space="preserve">      </w:t>
      </w:r>
      <w:r>
        <w:rPr>
          <w:rFonts w:hint="eastAsia" w:asciiTheme="minorEastAsia" w:hAnsiTheme="minorEastAsia" w:eastAsiaTheme="minorEastAsia"/>
          <w:sz w:val="20"/>
          <w:szCs w:val="20"/>
          <w:highlight w:val="none"/>
          <w:lang w:val="ru-RU"/>
        </w:rPr>
        <w:t>表</w:t>
      </w:r>
      <w:r>
        <w:rPr>
          <w:rFonts w:asciiTheme="minorEastAsia" w:hAnsiTheme="minorEastAsia" w:eastAsiaTheme="minorEastAsia"/>
          <w:sz w:val="20"/>
          <w:szCs w:val="20"/>
          <w:highlight w:val="none"/>
          <w:lang w:val="ru-RU"/>
        </w:rPr>
        <w:t xml:space="preserve"> 1-</w:t>
      </w:r>
      <w:r>
        <w:rPr>
          <w:rFonts w:hint="eastAsia" w:asciiTheme="minorEastAsia" w:hAnsiTheme="minorEastAsia" w:eastAsiaTheme="minorEastAsia"/>
          <w:sz w:val="20"/>
          <w:szCs w:val="20"/>
          <w:highlight w:val="none"/>
          <w:lang w:val="en-US" w:eastAsia="zh-CN"/>
        </w:rPr>
        <w:t xml:space="preserve">6 </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2023届毕业生分学院分专业毕业去向落实率</w:t>
      </w:r>
    </w:p>
    <w:p>
      <w:pPr>
        <w:jc w:val="right"/>
        <w:rPr>
          <w:rFonts w:hint="eastAsia" w:asciiTheme="minorEastAsia" w:hAnsiTheme="minorEastAsia" w:eastAsiaTheme="minorEastAsia"/>
          <w:sz w:val="20"/>
          <w:szCs w:val="20"/>
          <w:highlight w:val="none"/>
          <w:lang w:val="ru-RU"/>
        </w:rPr>
      </w:pPr>
      <w:r>
        <w:rPr>
          <w:rFonts w:hint="eastAsia" w:asciiTheme="minorEastAsia" w:hAnsiTheme="minorEastAsia" w:eastAsiaTheme="minorEastAsia"/>
          <w:sz w:val="20"/>
          <w:szCs w:val="20"/>
          <w:highlight w:val="none"/>
          <w:lang w:val="ru-RU"/>
        </w:rPr>
        <w:t>单位：人数（人）、比例（%）</w:t>
      </w:r>
    </w:p>
    <w:tbl>
      <w:tblPr>
        <w:tblStyle w:val="19"/>
        <w:tblW w:w="9650" w:type="dxa"/>
        <w:tblInd w:w="-42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179"/>
        <w:gridCol w:w="2640"/>
        <w:gridCol w:w="910"/>
        <w:gridCol w:w="1345"/>
        <w:gridCol w:w="1358"/>
        <w:gridCol w:w="1218"/>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575"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888"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w:t>
            </w: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人数</w:t>
            </w:r>
          </w:p>
        </w:tc>
        <w:tc>
          <w:tcPr>
            <w:tcW w:w="131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已落实毕业去向人数</w:t>
            </w:r>
          </w:p>
        </w:tc>
        <w:tc>
          <w:tcPr>
            <w:tcW w:w="1325"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未落实毕业去向人数</w:t>
            </w:r>
          </w:p>
        </w:tc>
        <w:tc>
          <w:tcPr>
            <w:tcW w:w="1188"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spacing w:before="0" w:after="0" w:line="240" w:lineRule="auto"/>
              <w:jc w:val="cente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毕业去向</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cstheme="majorBidi"/>
                <w:b/>
                <w:bCs w:val="0"/>
                <w:color w:val="FFFFFF" w:themeColor="background1"/>
                <w:sz w:val="20"/>
                <w:szCs w:val="20"/>
                <w:highlight w:val="none"/>
                <w:lang w:val="en-US" w:eastAsia="zh-CN"/>
                <w14:textFill>
                  <w14:solidFill>
                    <w14:schemeClr w14:val="bg1"/>
                  </w14:solidFill>
                </w14:textFill>
              </w:rPr>
              <w:t>落实率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会计</w:t>
            </w:r>
          </w:p>
        </w:tc>
        <w:tc>
          <w:tcPr>
            <w:tcW w:w="88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403</w:t>
            </w:r>
          </w:p>
        </w:tc>
        <w:tc>
          <w:tcPr>
            <w:tcW w:w="13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378</w:t>
            </w:r>
          </w:p>
        </w:tc>
        <w:tc>
          <w:tcPr>
            <w:tcW w:w="1325"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25</w:t>
            </w:r>
          </w:p>
        </w:tc>
        <w:tc>
          <w:tcPr>
            <w:tcW w:w="1188"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93.80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文秘</w:t>
            </w:r>
          </w:p>
        </w:tc>
        <w:tc>
          <w:tcPr>
            <w:tcW w:w="88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166</w:t>
            </w:r>
          </w:p>
        </w:tc>
        <w:tc>
          <w:tcPr>
            <w:tcW w:w="13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157</w:t>
            </w:r>
          </w:p>
        </w:tc>
        <w:tc>
          <w:tcPr>
            <w:tcW w:w="1325"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9</w:t>
            </w:r>
          </w:p>
        </w:tc>
        <w:tc>
          <w:tcPr>
            <w:tcW w:w="1188"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94.58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旅游管理</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118</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111</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7</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94.07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金融管理</w:t>
            </w:r>
          </w:p>
        </w:tc>
        <w:tc>
          <w:tcPr>
            <w:tcW w:w="88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58</w:t>
            </w:r>
          </w:p>
        </w:tc>
        <w:tc>
          <w:tcPr>
            <w:tcW w:w="13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55</w:t>
            </w:r>
          </w:p>
        </w:tc>
        <w:tc>
          <w:tcPr>
            <w:tcW w:w="1325"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3</w:t>
            </w:r>
          </w:p>
        </w:tc>
        <w:tc>
          <w:tcPr>
            <w:tcW w:w="1188"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94.83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财会工商学院 汇总</w:t>
            </w:r>
          </w:p>
        </w:tc>
        <w:tc>
          <w:tcPr>
            <w:tcW w:w="888"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745</w:t>
            </w:r>
          </w:p>
        </w:tc>
        <w:tc>
          <w:tcPr>
            <w:tcW w:w="1312" w:type="dxa"/>
            <w:shd w:val="clear" w:color="auto" w:fill="D2EAF0" w:themeFill="accent5" w:themeFillTint="3F"/>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701</w:t>
            </w:r>
          </w:p>
        </w:tc>
        <w:tc>
          <w:tcPr>
            <w:tcW w:w="1325" w:type="dxa"/>
            <w:shd w:val="clear" w:color="auto" w:fill="D2EAF0" w:themeFill="accent5" w:themeFillTint="3F"/>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44</w:t>
            </w:r>
          </w:p>
        </w:tc>
        <w:tc>
          <w:tcPr>
            <w:tcW w:w="1188" w:type="dxa"/>
            <w:shd w:val="clear" w:color="auto" w:fill="D2EAF0" w:themeFill="accent5" w:themeFillTint="3F"/>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94.09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252</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236</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16</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93.65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221</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215</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6</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97.29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物联网应用技术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35</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97.22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509</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486</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23</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95.48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p>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艺术创意学院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电子商务</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433</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418</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15</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96.54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服装与服饰设计</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91</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90</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98.90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ru-RU"/>
              </w:rPr>
              <w:t>广告设计与制作</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en-US" w:eastAsia="zh-CN"/>
              </w:rPr>
              <w:t>189</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180</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9</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95.24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艺术创意学院 汇总</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713</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sz w:val="20"/>
                <w:szCs w:val="20"/>
                <w:highlight w:val="none"/>
                <w:lang w:val="en-US"/>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688</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25</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96.49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266</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255</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11</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95.86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81</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76</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5</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93.83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38</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35</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3</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92.11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生物工程学院 汇总</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385</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366</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19</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95.06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12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575"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汽车检测与维修技术</w:t>
            </w:r>
          </w:p>
        </w:tc>
        <w:tc>
          <w:tcPr>
            <w:tcW w:w="888"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168</w:t>
            </w:r>
          </w:p>
        </w:tc>
        <w:tc>
          <w:tcPr>
            <w:tcW w:w="1312"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160</w:t>
            </w:r>
          </w:p>
        </w:tc>
        <w:tc>
          <w:tcPr>
            <w:tcW w:w="1325"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8</w:t>
            </w:r>
          </w:p>
        </w:tc>
        <w:tc>
          <w:tcPr>
            <w:tcW w:w="1188"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95.24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182</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6</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96.81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right"/>
              <w:rPr>
                <w:rFonts w:hint="default" w:asciiTheme="minorEastAsia" w:hAnsiTheme="minorEastAsia" w:eastAsiaTheme="minorEastAsia"/>
                <w:b w:val="0"/>
                <w:bCs w:val="0"/>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888" w:type="dxa"/>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356</w:t>
            </w:r>
          </w:p>
        </w:tc>
        <w:tc>
          <w:tcPr>
            <w:tcW w:w="1312" w:type="dxa"/>
            <w:shd w:val="clear" w:color="auto" w:fill="92CDDC" w:themeFill="accent5" w:themeFillTint="99"/>
            <w:vAlign w:val="center"/>
          </w:tcPr>
          <w:p>
            <w:pPr>
              <w:jc w:val="right"/>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342</w:t>
            </w:r>
          </w:p>
        </w:tc>
        <w:tc>
          <w:tcPr>
            <w:tcW w:w="1325"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14</w:t>
            </w:r>
          </w:p>
        </w:tc>
        <w:tc>
          <w:tcPr>
            <w:tcW w:w="1188"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96.07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建筑工程学院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88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496</w:t>
            </w:r>
          </w:p>
        </w:tc>
        <w:tc>
          <w:tcPr>
            <w:tcW w:w="13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466</w:t>
            </w:r>
          </w:p>
        </w:tc>
        <w:tc>
          <w:tcPr>
            <w:tcW w:w="1325"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30</w:t>
            </w:r>
          </w:p>
        </w:tc>
        <w:tc>
          <w:tcPr>
            <w:tcW w:w="1188"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93.95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工程造价</w:t>
            </w:r>
          </w:p>
        </w:tc>
        <w:tc>
          <w:tcPr>
            <w:tcW w:w="88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79</w:t>
            </w:r>
          </w:p>
        </w:tc>
        <w:tc>
          <w:tcPr>
            <w:tcW w:w="13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73</w:t>
            </w:r>
          </w:p>
        </w:tc>
        <w:tc>
          <w:tcPr>
            <w:tcW w:w="1325"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6</w:t>
            </w:r>
          </w:p>
        </w:tc>
        <w:tc>
          <w:tcPr>
            <w:tcW w:w="1188"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92.41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建筑装饰工程技术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kern w:val="2"/>
                <w:sz w:val="20"/>
                <w:szCs w:val="20"/>
                <w:lang w:val="en-US" w:eastAsia="zh-CN" w:bidi="ar-SA"/>
              </w:rPr>
              <w:t>143</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141</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2</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98.60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建筑工程学院 汇总</w:t>
            </w:r>
          </w:p>
        </w:tc>
        <w:tc>
          <w:tcPr>
            <w:tcW w:w="888"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718</w:t>
            </w:r>
          </w:p>
        </w:tc>
        <w:tc>
          <w:tcPr>
            <w:tcW w:w="1312"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680</w:t>
            </w:r>
          </w:p>
        </w:tc>
        <w:tc>
          <w:tcPr>
            <w:tcW w:w="1325"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38</w:t>
            </w:r>
          </w:p>
        </w:tc>
        <w:tc>
          <w:tcPr>
            <w:tcW w:w="1188"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94.71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信息技术学院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计算机应用技术</w:t>
            </w:r>
          </w:p>
        </w:tc>
        <w:tc>
          <w:tcPr>
            <w:tcW w:w="88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477</w:t>
            </w:r>
          </w:p>
        </w:tc>
        <w:tc>
          <w:tcPr>
            <w:tcW w:w="13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468</w:t>
            </w:r>
          </w:p>
        </w:tc>
        <w:tc>
          <w:tcPr>
            <w:tcW w:w="1325"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9</w:t>
            </w:r>
          </w:p>
        </w:tc>
        <w:tc>
          <w:tcPr>
            <w:tcW w:w="1188"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98.11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88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3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76</w:t>
            </w:r>
          </w:p>
        </w:tc>
        <w:tc>
          <w:tcPr>
            <w:tcW w:w="1325"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3</w:t>
            </w:r>
          </w:p>
        </w:tc>
        <w:tc>
          <w:tcPr>
            <w:tcW w:w="1188"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96.20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rPr>
              <w:t>技术</w:t>
            </w: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38</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cs="Times New Roman" w:asciiTheme="minorEastAsia" w:hAnsiTheme="minorEastAsia" w:eastAsiaTheme="minorEastAsia"/>
                <w:kern w:val="2"/>
                <w:sz w:val="20"/>
                <w:szCs w:val="20"/>
                <w:lang w:val="en-US" w:eastAsia="zh-CN" w:bidi="ar-SA"/>
              </w:rPr>
              <w:t>2</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95.00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57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信息技术学院 汇总</w:t>
            </w:r>
          </w:p>
        </w:tc>
        <w:tc>
          <w:tcPr>
            <w:tcW w:w="888"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596</w:t>
            </w:r>
          </w:p>
        </w:tc>
        <w:tc>
          <w:tcPr>
            <w:tcW w:w="1312"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582</w:t>
            </w:r>
          </w:p>
        </w:tc>
        <w:tc>
          <w:tcPr>
            <w:tcW w:w="1325"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14</w:t>
            </w:r>
          </w:p>
        </w:tc>
        <w:tc>
          <w:tcPr>
            <w:tcW w:w="1188"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97.65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125"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57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asciiTheme="minorEastAsia" w:hAnsiTheme="minorEastAsia" w:eastAsiaTheme="minorEastAsia"/>
                <w:sz w:val="20"/>
                <w:szCs w:val="20"/>
                <w:lang w:val="ru-RU"/>
              </w:rPr>
            </w:pPr>
          </w:p>
        </w:tc>
        <w:tc>
          <w:tcPr>
            <w:tcW w:w="8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4022</w:t>
            </w:r>
          </w:p>
        </w:tc>
        <w:tc>
          <w:tcPr>
            <w:tcW w:w="13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3485</w:t>
            </w:r>
          </w:p>
        </w:tc>
        <w:tc>
          <w:tcPr>
            <w:tcW w:w="13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sz w:val="20"/>
                <w:szCs w:val="20"/>
                <w:lang w:val="en-US" w:eastAsia="zh-CN"/>
              </w:rPr>
              <w:t>177</w:t>
            </w:r>
          </w:p>
        </w:tc>
        <w:tc>
          <w:tcPr>
            <w:tcW w:w="118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95.60</w:t>
            </w:r>
          </w:p>
        </w:tc>
      </w:tr>
    </w:tbl>
    <w:p>
      <w:pPr>
        <w:pStyle w:val="10"/>
        <w:ind w:left="0" w:leftChars="0" w:firstLine="0" w:firstLineChars="0"/>
        <w:rPr>
          <w:lang w:val="ru-RU"/>
        </w:rPr>
      </w:pPr>
    </w:p>
    <w:p>
      <w:pPr>
        <w:jc w:val="both"/>
        <w:rPr>
          <w:sz w:val="36"/>
          <w:szCs w:val="36"/>
          <w:highlight w:val="none"/>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jc w:val="both"/>
        <w:rPr>
          <w:sz w:val="36"/>
          <w:szCs w:val="36"/>
          <w:lang w:val="ru-RU"/>
        </w:rPr>
      </w:pPr>
    </w:p>
    <w:p>
      <w:pPr>
        <w:rPr>
          <w:lang w:val="ru-RU"/>
        </w:rPr>
      </w:pPr>
    </w:p>
    <w:p>
      <w:pPr>
        <w:pStyle w:val="6"/>
        <w:rPr>
          <w:lang w:val="ru-RU"/>
        </w:rPr>
      </w:pPr>
    </w:p>
    <w:p>
      <w:pPr>
        <w:pStyle w:val="2"/>
        <w:rPr>
          <w:lang w:val="ru-RU"/>
        </w:rPr>
      </w:pPr>
    </w:p>
    <w:p>
      <w:pPr>
        <w:rPr>
          <w:lang w:val="ru-RU"/>
        </w:rPr>
      </w:pPr>
    </w:p>
    <w:p>
      <w:pPr>
        <w:pStyle w:val="6"/>
        <w:rPr>
          <w:lang w:val="ru-RU"/>
        </w:rPr>
      </w:pPr>
    </w:p>
    <w:p>
      <w:pPr>
        <w:pStyle w:val="2"/>
        <w:rPr>
          <w:lang w:val="ru-RU"/>
        </w:rPr>
      </w:pPr>
    </w:p>
    <w:p>
      <w:pPr>
        <w:rPr>
          <w:lang w:val="ru-RU"/>
        </w:rPr>
      </w:pPr>
    </w:p>
    <w:p>
      <w:pPr>
        <w:pStyle w:val="6"/>
        <w:rPr>
          <w:lang w:val="ru-RU"/>
        </w:rPr>
      </w:pPr>
    </w:p>
    <w:p>
      <w:pPr>
        <w:pStyle w:val="2"/>
        <w:rPr>
          <w:lang w:val="ru-RU"/>
        </w:rPr>
      </w:pPr>
    </w:p>
    <w:p>
      <w:pPr>
        <w:numPr>
          <w:ilvl w:val="0"/>
          <w:numId w:val="1"/>
        </w:numPr>
        <w:ind w:left="0" w:leftChars="0" w:firstLine="0" w:firstLineChars="0"/>
        <w:jc w:val="center"/>
        <w:rPr>
          <w:rFonts w:hint="eastAsia"/>
          <w:sz w:val="36"/>
          <w:szCs w:val="36"/>
          <w:highlight w:val="none"/>
          <w:lang w:val="ru-RU" w:eastAsia="zh-CN"/>
        </w:rPr>
      </w:pPr>
      <w:r>
        <w:rPr>
          <w:rFonts w:hint="eastAsia"/>
          <w:sz w:val="36"/>
          <w:szCs w:val="36"/>
          <w:highlight w:val="none"/>
          <w:lang w:val="en-US" w:eastAsia="zh-CN"/>
        </w:rPr>
        <w:t>毕业生就业单位情况</w:t>
      </w:r>
    </w:p>
    <w:p>
      <w:pPr>
        <w:ind w:firstLine="0" w:firstLineChars="0"/>
        <w:jc w:val="left"/>
        <w:rPr>
          <w:rFonts w:hint="default" w:eastAsia="宋体"/>
          <w:sz w:val="28"/>
          <w:szCs w:val="28"/>
          <w:highlight w:val="none"/>
          <w:lang w:val="en-US" w:eastAsia="zh-CN"/>
        </w:rPr>
      </w:pPr>
      <w:r>
        <w:rPr>
          <w:rFonts w:hint="eastAsia"/>
          <w:sz w:val="28"/>
          <w:szCs w:val="28"/>
          <w:highlight w:val="none"/>
          <w:lang w:val="en-US" w:eastAsia="zh-CN"/>
        </w:rPr>
        <w:t>一、总体就业行业结构</w:t>
      </w:r>
    </w:p>
    <w:p>
      <w:pPr>
        <w:ind w:firstLine="560" w:firstLineChars="200"/>
        <w:jc w:val="left"/>
        <w:rPr>
          <w:rFonts w:hint="eastAsia"/>
          <w:lang w:val="en-US" w:eastAsia="zh-CN"/>
        </w:rPr>
      </w:pPr>
      <w:r>
        <w:rPr>
          <w:rFonts w:hint="eastAsia"/>
          <w:sz w:val="28"/>
          <w:szCs w:val="28"/>
          <w:highlight w:val="none"/>
          <w:lang w:val="en-US" w:eastAsia="zh-CN"/>
        </w:rPr>
        <w:t>按国家统计局国民经济行业分类标准，2023届毕业生就业行业主要集中在“制造业”（481人，占比14.82%）、“居民服务、修理和其他服务业”（404人，占比12.45%）、“信息传输、软件和信息技术服务业”（386人，占比11.89%）。</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1</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2023届已就业毕业生行业分布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3320"/>
        <w:gridCol w:w="215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用人单位行业</w:t>
            </w:r>
          </w:p>
        </w:tc>
        <w:tc>
          <w:tcPr>
            <w:tcW w:w="215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制造业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居民服务、修理和其他服务业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信息传输、软件和信息技术服务业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建筑业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批发和零售业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公共管理、社会保障和社会组织</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租赁和商务服务业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农、林、牧、渔业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文化、体育和娱乐业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科学研究和技术服务业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住宿和餐饮业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卫生和社会工作</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交通运输、仓储和邮政业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金融业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教育</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房地产业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电力、热力、燃气及水生产和供应业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水利、环境和公共设施管理业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采矿业</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332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ajorBidi"/>
                <w:b/>
                <w:bCs w:val="0"/>
                <w:sz w:val="20"/>
                <w:szCs w:val="20"/>
                <w:lang w:val="en-US" w:eastAsia="zh-CN"/>
              </w:rPr>
              <w:t>总计</w:t>
            </w:r>
          </w:p>
        </w:tc>
        <w:tc>
          <w:tcPr>
            <w:tcW w:w="215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default" w:ascii="宋体" w:hAnsi="宋体" w:eastAsia="宋体" w:cs="宋体"/>
                <w:b/>
                <w:bCs/>
                <w:i w:val="0"/>
                <w:iCs w:val="0"/>
                <w:color w:val="000000"/>
                <w:kern w:val="0"/>
                <w:sz w:val="20"/>
                <w:szCs w:val="20"/>
                <w:u w:val="none"/>
                <w:lang w:val="en-US" w:eastAsia="zh-CN" w:bidi="ar"/>
              </w:rPr>
            </w:pPr>
            <w:r>
              <w:rPr>
                <w:rFonts w:hint="eastAsia" w:cs="Times New Roman" w:asciiTheme="minorEastAsia" w:hAnsiTheme="minorEastAsia" w:eastAsiaTheme="minorEastAsia"/>
                <w:b/>
                <w:bCs/>
                <w:kern w:val="2"/>
                <w:sz w:val="20"/>
                <w:szCs w:val="20"/>
                <w:lang w:val="en-US" w:eastAsia="zh-CN" w:bidi="ar-SA"/>
              </w:rPr>
              <w:t>3246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top"/>
          </w:tcPr>
          <w:p>
            <w:pPr>
              <w:jc w:val="center"/>
              <w:rPr>
                <w:rFonts w:hint="eastAsia" w:ascii="宋体" w:hAnsi="宋体" w:eastAsia="宋体" w:cs="宋体"/>
                <w:b/>
                <w:bCs/>
                <w:i w:val="0"/>
                <w:iCs w:val="0"/>
                <w:color w:val="000000"/>
                <w:kern w:val="0"/>
                <w:sz w:val="20"/>
                <w:szCs w:val="20"/>
                <w:u w:val="none"/>
                <w:lang w:val="en-US" w:eastAsia="zh-CN" w:bidi="ar"/>
              </w:rPr>
            </w:pPr>
            <w:r>
              <w:rPr>
                <w:rFonts w:hint="eastAsia" w:asciiTheme="minorEastAsia" w:hAnsiTheme="minorEastAsia" w:eastAsiaTheme="minorEastAsia"/>
                <w:b/>
                <w:bCs/>
                <w:sz w:val="20"/>
                <w:szCs w:val="20"/>
                <w:lang w:val="en-US" w:eastAsia="zh-CN"/>
              </w:rPr>
              <w:t>100.00</w:t>
            </w:r>
          </w:p>
        </w:tc>
      </w:tr>
    </w:tbl>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注：本表统计仅针对毕业去向为签就业协议就业、签劳动合同就业、其他录用就业的毕业生。</w:t>
      </w:r>
    </w:p>
    <w:p>
      <w:pPr>
        <w:jc w:val="left"/>
        <w:rPr>
          <w:rFonts w:hint="eastAsia" w:asciiTheme="minorEastAsia" w:hAnsiTheme="minorEastAsia" w:eastAsiaTheme="minorEastAsia"/>
          <w:sz w:val="20"/>
          <w:szCs w:val="20"/>
          <w:lang w:val="ru-RU" w:eastAsia="zh-CN"/>
        </w:rPr>
      </w:pPr>
    </w:p>
    <w:p>
      <w:pPr>
        <w:numPr>
          <w:ilvl w:val="0"/>
          <w:numId w:val="0"/>
        </w:numPr>
        <w:ind w:firstLine="0" w:firstLineChars="0"/>
        <w:jc w:val="left"/>
        <w:rPr>
          <w:rFonts w:hint="eastAsia"/>
          <w:sz w:val="28"/>
          <w:szCs w:val="28"/>
          <w:lang w:val="en-US" w:eastAsia="zh-CN"/>
        </w:rPr>
      </w:pPr>
      <w:r>
        <w:rPr>
          <w:rFonts w:hint="eastAsia"/>
          <w:sz w:val="28"/>
          <w:szCs w:val="28"/>
          <w:lang w:val="en-US" w:eastAsia="zh-CN"/>
        </w:rPr>
        <w:t>二、单位性质</w:t>
      </w:r>
    </w:p>
    <w:p>
      <w:pPr>
        <w:numPr>
          <w:ilvl w:val="0"/>
          <w:numId w:val="0"/>
        </w:numPr>
        <w:ind w:firstLine="560"/>
        <w:jc w:val="left"/>
        <w:rPr>
          <w:rFonts w:hint="eastAsia"/>
          <w:sz w:val="28"/>
          <w:szCs w:val="28"/>
          <w:lang w:val="en-US" w:eastAsia="zh-CN"/>
        </w:rPr>
      </w:pPr>
      <w:r>
        <w:rPr>
          <w:rFonts w:hint="eastAsia"/>
          <w:sz w:val="28"/>
          <w:szCs w:val="28"/>
          <w:lang w:val="en-US" w:eastAsia="zh-CN"/>
        </w:rPr>
        <w:t>2023届毕业生主要就业单位性质为“其他企业”（2908人，占比75.63%）、“自由职业”（213人，占比5.54%）、“部队”（193人，占比5.02%）。</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2</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2023届已就业毕业生单位性质分布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用人单位性质</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其他企业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2908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75.63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自由职业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部队</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机关</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升学</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其他事业单位</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自主创业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国有企业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三资企业</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0.93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农村建制村</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0.60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城镇社区</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医疗卫生单位</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其他教学单位</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出国、出境深造</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8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bCs w:val="0"/>
                <w:sz w:val="20"/>
                <w:szCs w:val="20"/>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cs="Times New Roman" w:asciiTheme="minorEastAsia" w:hAnsiTheme="minorEastAsia" w:eastAsiaTheme="minorEastAsia"/>
                <w:b/>
                <w:bCs/>
                <w:kern w:val="2"/>
                <w:sz w:val="20"/>
                <w:szCs w:val="20"/>
                <w:lang w:val="en-US" w:eastAsia="zh-CN" w:bidi="ar-SA"/>
              </w:rPr>
              <w:t>3845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sz w:val="20"/>
                <w:szCs w:val="20"/>
                <w:lang w:val="en-US" w:eastAsia="zh-CN"/>
              </w:rPr>
              <w:t>100.00</w:t>
            </w:r>
          </w:p>
        </w:tc>
      </w:tr>
    </w:tbl>
    <w:p>
      <w:pPr>
        <w:jc w:val="left"/>
        <w:rPr>
          <w:rFonts w:hint="eastAsia" w:asciiTheme="minorEastAsia" w:hAnsiTheme="minorEastAsia" w:eastAsiaTheme="minorEastAsia"/>
          <w:sz w:val="20"/>
          <w:szCs w:val="20"/>
          <w:lang w:val="en-US" w:eastAsia="zh-CN"/>
        </w:rPr>
      </w:pPr>
    </w:p>
    <w:p>
      <w:pPr>
        <w:numPr>
          <w:ilvl w:val="0"/>
          <w:numId w:val="2"/>
        </w:numPr>
        <w:ind w:left="0" w:leftChars="0" w:firstLine="0" w:firstLineChars="0"/>
        <w:jc w:val="left"/>
        <w:rPr>
          <w:rFonts w:hint="eastAsia"/>
          <w:sz w:val="28"/>
          <w:szCs w:val="28"/>
          <w:highlight w:val="none"/>
          <w:lang w:val="en-US" w:eastAsia="zh-CN"/>
        </w:rPr>
      </w:pPr>
      <w:r>
        <w:rPr>
          <w:rFonts w:hint="eastAsia"/>
          <w:sz w:val="28"/>
          <w:szCs w:val="28"/>
          <w:highlight w:val="none"/>
          <w:lang w:val="en-US" w:eastAsia="zh-CN"/>
        </w:rPr>
        <w:t>工作职位类别</w:t>
      </w:r>
    </w:p>
    <w:p>
      <w:pPr>
        <w:numPr>
          <w:ilvl w:val="0"/>
          <w:numId w:val="0"/>
        </w:numPr>
        <w:ind w:firstLine="560"/>
        <w:jc w:val="left"/>
        <w:rPr>
          <w:rFonts w:hint="eastAsia"/>
          <w:sz w:val="28"/>
          <w:szCs w:val="28"/>
          <w:lang w:val="en-US" w:eastAsia="zh-CN"/>
        </w:rPr>
      </w:pPr>
      <w:r>
        <w:rPr>
          <w:rFonts w:hint="eastAsia"/>
          <w:sz w:val="28"/>
          <w:szCs w:val="28"/>
          <w:lang w:val="en-US" w:eastAsia="zh-CN"/>
        </w:rPr>
        <w:t>2023届毕业生主要就业职位类别为“其他人员”（1834人，占比56.50%）、“办事人员和有关人员”（672人，占比20.70%）、“其他专业技术人员”（304人，占比9.37%）。</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3</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2023届已就业毕业生职位类型分布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工作职位类别</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1834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56.50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办事人员和有关人员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其他专业技术人员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商业和服务业人员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工程技术人员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金融业务人员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农林牧渔业技术人员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生产和运输设备操作人员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教学人员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卫生专业技术人员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经济业务人员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新闻出版和文化工作人员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法律专业人员</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cstheme="majorBidi"/>
                <w:b/>
                <w:bCs w:val="0"/>
                <w:sz w:val="20"/>
                <w:szCs w:val="20"/>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asciiTheme="minorEastAsia" w:hAnsiTheme="minorEastAsia" w:eastAsiaTheme="minorEastAsia"/>
                <w:sz w:val="20"/>
                <w:szCs w:val="20"/>
                <w:lang w:val="en-US" w:eastAsia="zh-CN"/>
              </w:rPr>
            </w:pPr>
            <w:r>
              <w:rPr>
                <w:rFonts w:hint="eastAsia" w:cs="Times New Roman" w:asciiTheme="minorEastAsia" w:hAnsiTheme="minorEastAsia" w:eastAsiaTheme="minorEastAsia"/>
                <w:b/>
                <w:bCs/>
                <w:kern w:val="2"/>
                <w:sz w:val="20"/>
                <w:szCs w:val="20"/>
                <w:lang w:val="en-US" w:eastAsia="zh-CN" w:bidi="ar-SA"/>
              </w:rPr>
              <w:t>3246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b/>
                <w:bCs/>
                <w:sz w:val="20"/>
                <w:szCs w:val="20"/>
                <w:lang w:val="en-US" w:eastAsia="zh-CN"/>
              </w:rPr>
              <w:t>100.00</w:t>
            </w:r>
          </w:p>
        </w:tc>
      </w:tr>
    </w:tbl>
    <w:p>
      <w:pPr>
        <w:jc w:val="left"/>
        <w:rPr>
          <w:rFonts w:hint="default"/>
          <w:sz w:val="28"/>
          <w:szCs w:val="28"/>
          <w:lang w:val="en-US" w:eastAsia="zh-CN"/>
        </w:rPr>
      </w:pPr>
      <w:r>
        <w:rPr>
          <w:rFonts w:hint="eastAsia" w:asciiTheme="minorEastAsia" w:hAnsiTheme="minorEastAsia" w:eastAsiaTheme="minorEastAsia"/>
          <w:sz w:val="20"/>
          <w:szCs w:val="20"/>
          <w:lang w:val="en-US" w:eastAsia="zh-CN"/>
        </w:rPr>
        <w:t>注：本表统计仅针对毕业去向为签就业协议就业、签劳动合同就业、其他录用就业的毕业生。</w:t>
      </w:r>
    </w:p>
    <w:p>
      <w:pPr>
        <w:jc w:val="left"/>
        <w:rPr>
          <w:rFonts w:hint="eastAsia" w:asciiTheme="minorEastAsia" w:hAnsiTheme="minorEastAsia" w:eastAsiaTheme="minorEastAsia"/>
          <w:sz w:val="20"/>
          <w:szCs w:val="20"/>
          <w:lang w:val="en-US" w:eastAsia="zh-CN"/>
        </w:rPr>
      </w:pPr>
    </w:p>
    <w:p>
      <w:pPr>
        <w:numPr>
          <w:ilvl w:val="0"/>
          <w:numId w:val="2"/>
        </w:numPr>
        <w:ind w:left="0" w:leftChars="0" w:firstLine="0" w:firstLineChars="0"/>
        <w:jc w:val="left"/>
        <w:rPr>
          <w:rFonts w:hint="eastAsia"/>
          <w:sz w:val="28"/>
          <w:szCs w:val="28"/>
          <w:highlight w:val="none"/>
          <w:lang w:val="en-US" w:eastAsia="zh-CN"/>
        </w:rPr>
      </w:pPr>
      <w:r>
        <w:rPr>
          <w:rFonts w:hint="eastAsia"/>
          <w:sz w:val="28"/>
          <w:szCs w:val="28"/>
          <w:highlight w:val="none"/>
          <w:lang w:val="en-US" w:eastAsia="zh-CN"/>
        </w:rPr>
        <w:t>就业地域流向</w:t>
      </w:r>
    </w:p>
    <w:p>
      <w:pPr>
        <w:numPr>
          <w:ilvl w:val="0"/>
          <w:numId w:val="0"/>
        </w:numPr>
        <w:ind w:firstLine="560"/>
        <w:jc w:val="left"/>
        <w:rPr>
          <w:rFonts w:hint="default"/>
          <w:sz w:val="28"/>
          <w:szCs w:val="28"/>
          <w:lang w:val="en-US" w:eastAsia="zh-CN"/>
        </w:rPr>
      </w:pPr>
      <w:r>
        <w:rPr>
          <w:rFonts w:hint="eastAsia"/>
          <w:sz w:val="28"/>
          <w:szCs w:val="28"/>
          <w:lang w:val="en-US" w:eastAsia="zh-CN"/>
        </w:rPr>
        <w:t>就业地域统计仅针对毕业去向为签就业协议就业、签劳动合同就业、其他录用就业的毕业生。</w:t>
      </w:r>
    </w:p>
    <w:p>
      <w:pPr>
        <w:numPr>
          <w:ilvl w:val="0"/>
          <w:numId w:val="6"/>
        </w:numPr>
        <w:ind w:left="0" w:leftChars="0"/>
        <w:jc w:val="left"/>
        <w:rPr>
          <w:rFonts w:hint="eastAsia"/>
          <w:sz w:val="28"/>
          <w:szCs w:val="28"/>
          <w:lang w:val="en-US" w:eastAsia="zh-CN"/>
        </w:rPr>
      </w:pPr>
      <w:r>
        <w:rPr>
          <w:rFonts w:hint="eastAsia"/>
          <w:sz w:val="28"/>
          <w:szCs w:val="28"/>
          <w:lang w:val="en-US" w:eastAsia="zh-CN"/>
        </w:rPr>
        <w:t>就业省份分布</w:t>
      </w:r>
    </w:p>
    <w:p>
      <w:pPr>
        <w:ind w:firstLine="560" w:firstLineChars="200"/>
        <w:jc w:val="left"/>
        <w:rPr>
          <w:rFonts w:hint="eastAsia"/>
          <w:sz w:val="28"/>
          <w:szCs w:val="28"/>
          <w:lang w:val="en-US" w:eastAsia="zh-CN"/>
        </w:rPr>
      </w:pPr>
      <w:r>
        <w:rPr>
          <w:rFonts w:hint="eastAsia"/>
          <w:sz w:val="28"/>
          <w:szCs w:val="28"/>
          <w:lang w:val="en-US" w:eastAsia="zh-CN"/>
        </w:rPr>
        <w:t>2023届毕业生就业地区覆盖26个省（直辖市、自治区、行政区），湖南省就业人数最多，共有1867人（占比57.52%），非湖南省就业人数1379人（占比42.48%）。非湖南省就业人数位列前三的地区分别为：广东省829人（占比25.54%）、江苏省108人（占比3.33%）、 浙江省101人（占比3.11%）。</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 2-</w:t>
      </w:r>
      <w:r>
        <w:rPr>
          <w:rFonts w:hint="eastAsia" w:asciiTheme="minorEastAsia" w:hAnsiTheme="minorEastAsia" w:eastAsiaTheme="minorEastAsia"/>
          <w:sz w:val="20"/>
          <w:szCs w:val="20"/>
          <w:highlight w:val="none"/>
          <w:lang w:val="en-US" w:eastAsia="zh-CN"/>
        </w:rPr>
        <w:t>4</w:t>
      </w:r>
      <w:r>
        <w:rPr>
          <w:rFonts w:hint="eastAsia" w:asciiTheme="minorEastAsia" w:hAnsiTheme="minorEastAsia" w:eastAsiaTheme="minorEastAsia"/>
          <w:sz w:val="20"/>
          <w:szCs w:val="20"/>
          <w:lang w:val="en-US" w:eastAsia="zh-CN"/>
        </w:rPr>
        <w:t xml:space="preserve">  </w:t>
      </w:r>
      <w:r>
        <w:rPr>
          <w:rFonts w:hint="eastAsia" w:asciiTheme="minorEastAsia" w:hAnsiTheme="minorEastAsia" w:eastAsiaTheme="minorEastAsia"/>
          <w:sz w:val="20"/>
          <w:szCs w:val="20"/>
          <w:highlight w:val="none"/>
          <w:lang w:val="en-US" w:eastAsia="zh-CN"/>
        </w:rPr>
        <w:t>2023届已就业毕业生就业地域分省份分布</w:t>
      </w:r>
    </w:p>
    <w:p>
      <w:pPr>
        <w:jc w:val="righ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bCs w:val="0"/>
                <w:color w:val="auto"/>
                <w:kern w:val="2"/>
                <w:sz w:val="20"/>
                <w:szCs w:val="20"/>
                <w:highlight w:val="red"/>
                <w:lang w:val="en-US" w:eastAsia="zh-CN" w:bidi="ar-SA"/>
              </w:rPr>
            </w:pPr>
            <w:r>
              <w:rPr>
                <w:rFonts w:hint="eastAsia" w:asciiTheme="minorEastAsia" w:hAnsiTheme="minorEastAsia" w:eastAsiaTheme="minorEastAsia" w:cstheme="majorBidi"/>
                <w:b/>
                <w:bCs w:val="0"/>
                <w:color w:val="auto"/>
                <w:sz w:val="20"/>
                <w:szCs w:val="20"/>
                <w:highlight w:val="none"/>
                <w:lang w:val="en-US" w:eastAsia="zh-CN"/>
              </w:rPr>
              <w:t>用人单位所在省</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bCs w:val="0"/>
                <w:color w:val="auto"/>
                <w:kern w:val="2"/>
                <w:sz w:val="20"/>
                <w:szCs w:val="20"/>
                <w:highlight w:val="none"/>
                <w:lang w:val="ru-RU" w:eastAsia="zh-CN" w:bidi="ar-SA"/>
              </w:rPr>
            </w:pPr>
            <w:r>
              <w:rPr>
                <w:rFonts w:hint="eastAsia" w:asciiTheme="minorEastAsia" w:hAnsiTheme="minorEastAsia" w:eastAsiaTheme="minorEastAsia" w:cstheme="majorBidi"/>
                <w:b/>
                <w:bCs w:val="0"/>
                <w:color w:val="auto"/>
                <w:sz w:val="20"/>
                <w:szCs w:val="20"/>
                <w:highlight w:val="none"/>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bCs w:val="0"/>
                <w:color w:val="auto"/>
                <w:kern w:val="2"/>
                <w:sz w:val="20"/>
                <w:szCs w:val="20"/>
                <w:highlight w:val="none"/>
                <w:lang w:val="en-US" w:eastAsia="zh-CN" w:bidi="ar-SA"/>
              </w:rPr>
            </w:pPr>
            <w:r>
              <w:rPr>
                <w:rFonts w:hint="eastAsia" w:asciiTheme="minorEastAsia" w:hAnsiTheme="minorEastAsia" w:eastAsiaTheme="minorEastAsia" w:cstheme="majorBidi"/>
                <w:b/>
                <w:bCs w:val="0"/>
                <w:color w:val="auto"/>
                <w:sz w:val="20"/>
                <w:szCs w:val="20"/>
                <w:highlight w:val="none"/>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ru-RU" w:eastAsia="zh-CN" w:bidi="ar-SA"/>
              </w:rPr>
            </w:pPr>
            <w:r>
              <w:rPr>
                <w:rFonts w:hint="eastAsia" w:ascii="宋体" w:hAnsi="宋体" w:eastAsia="宋体" w:cs="宋体"/>
                <w:i w:val="0"/>
                <w:iCs w:val="0"/>
                <w:color w:val="000000"/>
                <w:kern w:val="0"/>
                <w:sz w:val="20"/>
                <w:szCs w:val="20"/>
                <w:u w:val="none"/>
                <w:lang w:val="en-US" w:eastAsia="zh-CN" w:bidi="ar"/>
              </w:rPr>
              <w:t>湖南省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ascii="宋体" w:hAnsi="宋体" w:cs="宋体"/>
                <w:i w:val="0"/>
                <w:iCs w:val="0"/>
                <w:color w:val="000000"/>
                <w:kern w:val="0"/>
                <w:sz w:val="20"/>
                <w:szCs w:val="20"/>
                <w:u w:val="none"/>
                <w:lang w:val="en-US" w:eastAsia="zh-CN" w:bidi="ar"/>
              </w:rPr>
              <w:t>1867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57.52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val="0"/>
                <w:bCs/>
                <w:kern w:val="2"/>
                <w:sz w:val="20"/>
                <w:szCs w:val="20"/>
                <w:highlight w:val="none"/>
                <w:lang w:val="en-US" w:eastAsia="zh-CN" w:bidi="ar-SA"/>
              </w:rPr>
              <w:t>湖南省外</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keepNext w:val="0"/>
              <w:keepLines w:val="0"/>
              <w:widowControl/>
              <w:suppressLineNumbers w:val="0"/>
              <w:jc w:val="center"/>
              <w:textAlignment w:val="top"/>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1379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kern w:val="2"/>
                <w:sz w:val="20"/>
                <w:szCs w:val="20"/>
                <w:highlight w:val="none"/>
                <w:lang w:val="en-US" w:eastAsia="zh-CN" w:bidi="ar-SA"/>
              </w:rPr>
              <w:t>42.48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asciiTheme="minorEastAsia" w:hAnsiTheme="minorEastAsia" w:eastAsiaTheme="minorEastAsia" w:cstheme="majorBidi"/>
                <w:b w:val="0"/>
                <w:bCs/>
                <w:kern w:val="2"/>
                <w:sz w:val="20"/>
                <w:szCs w:val="20"/>
                <w:highlight w:val="none"/>
                <w:lang w:val="en-US" w:eastAsia="zh-CN" w:bidi="ar-SA"/>
              </w:rPr>
            </w:pPr>
            <w:r>
              <w:rPr>
                <w:rFonts w:hint="eastAsia" w:asciiTheme="minorEastAsia" w:hAnsiTheme="minorEastAsia" w:eastAsiaTheme="minorEastAsia" w:cstheme="majorBidi"/>
                <w:b/>
                <w:bCs w:val="0"/>
                <w:sz w:val="20"/>
                <w:szCs w:val="20"/>
                <w:highlight w:val="none"/>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highlight w:val="none"/>
                <w:lang w:val="en-US" w:eastAsia="zh-CN" w:bidi="ar-SA"/>
              </w:rPr>
            </w:pPr>
            <w:r>
              <w:rPr>
                <w:rFonts w:hint="eastAsia" w:cs="Times New Roman" w:asciiTheme="minorEastAsia" w:hAnsiTheme="minorEastAsia" w:eastAsiaTheme="minorEastAsia"/>
                <w:b/>
                <w:bCs/>
                <w:kern w:val="2"/>
                <w:sz w:val="20"/>
                <w:szCs w:val="20"/>
                <w:highlight w:val="none"/>
                <w:lang w:val="en-US" w:eastAsia="zh-CN" w:bidi="ar-SA"/>
              </w:rPr>
              <w:t>3246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bCs/>
                <w:kern w:val="2"/>
                <w:sz w:val="20"/>
                <w:szCs w:val="20"/>
                <w:highlight w:val="none"/>
                <w:lang w:val="ru-RU" w:eastAsia="zh-CN" w:bidi="ar-SA"/>
              </w:rPr>
            </w:pPr>
            <w:r>
              <w:rPr>
                <w:rFonts w:hint="eastAsia" w:asciiTheme="minorEastAsia" w:hAnsiTheme="minorEastAsia" w:eastAsiaTheme="minorEastAsia"/>
                <w:b/>
                <w:bCs/>
                <w:sz w:val="20"/>
                <w:szCs w:val="20"/>
                <w:highlight w:val="none"/>
                <w:lang w:val="en-US" w:eastAsia="zh-CN"/>
              </w:rPr>
              <w:t>100.00</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8025"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top"/>
          </w:tcPr>
          <w:p>
            <w:pPr>
              <w:jc w:val="center"/>
              <w:rPr>
                <w:rFonts w:hint="default" w:cs="Times New Roman" w:asciiTheme="minorEastAsia" w:hAnsiTheme="minorEastAsia" w:eastAsiaTheme="minorEastAsia"/>
                <w:kern w:val="2"/>
                <w:sz w:val="20"/>
                <w:szCs w:val="20"/>
                <w:highlight w:val="none"/>
                <w:lang w:val="en-US" w:eastAsia="zh-CN" w:bidi="ar-SA"/>
              </w:rPr>
            </w:pPr>
            <w:r>
              <w:rPr>
                <w:rFonts w:hint="eastAsia" w:cs="Times New Roman" w:asciiTheme="minorEastAsia" w:hAnsiTheme="minorEastAsia" w:eastAsiaTheme="minorEastAsia"/>
                <w:b/>
                <w:bCs/>
                <w:kern w:val="2"/>
                <w:sz w:val="20"/>
                <w:szCs w:val="20"/>
                <w:highlight w:val="none"/>
                <w:lang w:val="en-US" w:eastAsia="zh-CN" w:bidi="ar-SA"/>
              </w:rPr>
              <w:t>外省就业明细</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25.54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55"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江苏省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90"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浙江省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西藏</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福建省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广西</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0.62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32"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江西省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云南省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0.49</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62"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贵州省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6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重庆市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新疆</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陕西省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吉林省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7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内蒙古</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7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辽宁省</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themeFill="background1"/>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77" w:hRule="atLeast"/>
        </w:trPr>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天津市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w:t>
            </w:r>
          </w:p>
        </w:tc>
      </w:tr>
    </w:tbl>
    <w:p>
      <w:pPr>
        <w:numPr>
          <w:ilvl w:val="0"/>
          <w:numId w:val="0"/>
        </w:numPr>
        <w:jc w:val="left"/>
        <w:rPr>
          <w:rFonts w:hint="eastAsia"/>
          <w:sz w:val="28"/>
          <w:szCs w:val="28"/>
          <w:highlight w:val="yellow"/>
          <w:lang w:val="en-US" w:eastAsia="zh-CN"/>
        </w:rPr>
      </w:pPr>
    </w:p>
    <w:p>
      <w:pPr>
        <w:numPr>
          <w:ilvl w:val="0"/>
          <w:numId w:val="6"/>
        </w:numPr>
        <w:ind w:left="0" w:leftChars="0" w:firstLine="0" w:firstLineChars="0"/>
        <w:jc w:val="left"/>
        <w:rPr>
          <w:rFonts w:hint="eastAsia"/>
          <w:sz w:val="28"/>
          <w:szCs w:val="28"/>
          <w:highlight w:val="none"/>
          <w:lang w:val="en-US" w:eastAsia="zh-CN"/>
        </w:rPr>
      </w:pPr>
      <w:r>
        <w:rPr>
          <w:rFonts w:hint="eastAsia"/>
          <w:sz w:val="28"/>
          <w:szCs w:val="28"/>
          <w:highlight w:val="none"/>
          <w:lang w:val="en-US" w:eastAsia="zh-CN"/>
        </w:rPr>
        <w:t>在湘（本省）就业流向</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2023届毕业生湖南省内就业人数1867人，省内就业人数比例前三的分别为：邵阳市（占比55.87%）、长沙市（占比27.32%%）、衡阳市（占比2.62%）。</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5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已就业毕业生湖南省内就业城市分布</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850"/>
        <w:gridCol w:w="2625"/>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eastAsia"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湖南市州</w:t>
            </w:r>
          </w:p>
        </w:tc>
        <w:tc>
          <w:tcPr>
            <w:tcW w:w="2625"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邵阳市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55.87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长沙市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27.32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衡阳市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2.62</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怀化市 </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永州市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娄底市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株洲市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郴州市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湘潭市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cs="宋体"/>
                <w:i w:val="0"/>
                <w:iCs w:val="0"/>
                <w:color w:val="000000"/>
                <w:kern w:val="0"/>
                <w:sz w:val="20"/>
                <w:szCs w:val="20"/>
                <w:u w:val="none"/>
                <w:lang w:val="en-US" w:eastAsia="zh-CN" w:bidi="ar"/>
              </w:rPr>
              <w:t>54</w:t>
            </w:r>
            <w:r>
              <w:rPr>
                <w:rFonts w:hint="eastAsia" w:ascii="宋体" w:hAnsi="宋体" w:eastAsia="宋体" w:cs="宋体"/>
                <w:i w:val="0"/>
                <w:iCs w:val="0"/>
                <w:color w:val="000000"/>
                <w:kern w:val="0"/>
                <w:sz w:val="20"/>
                <w:szCs w:val="20"/>
                <w:u w:val="none"/>
                <w:lang w:val="en-US" w:eastAsia="zh-CN" w:bidi="ar"/>
              </w:rPr>
              <w:t>湘西</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17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0.91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常德市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14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益阳市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ru-RU" w:eastAsia="zh-CN" w:bidi="ar"/>
              </w:rPr>
            </w:pPr>
            <w:r>
              <w:rPr>
                <w:rFonts w:hint="eastAsia" w:ascii="宋体" w:hAnsi="宋体" w:eastAsia="宋体" w:cs="宋体"/>
                <w:i w:val="0"/>
                <w:iCs w:val="0"/>
                <w:color w:val="000000"/>
                <w:kern w:val="0"/>
                <w:sz w:val="20"/>
                <w:szCs w:val="20"/>
                <w:u w:val="none"/>
                <w:lang w:val="en-US" w:eastAsia="zh-CN" w:bidi="ar"/>
              </w:rPr>
              <w:t>10</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张家界市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岳阳市</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28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bCs w:val="0"/>
                <w:sz w:val="20"/>
                <w:szCs w:val="20"/>
                <w:lang w:val="en-US" w:eastAsia="zh-CN"/>
              </w:rPr>
              <w:t>总计</w:t>
            </w:r>
          </w:p>
        </w:tc>
        <w:tc>
          <w:tcPr>
            <w:tcW w:w="2625"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cs="Times New Roman" w:asciiTheme="minorEastAsia" w:hAnsiTheme="minorEastAsia" w:eastAsiaTheme="minorEastAsia"/>
                <w:b/>
                <w:bCs/>
                <w:kern w:val="2"/>
                <w:sz w:val="20"/>
                <w:szCs w:val="20"/>
                <w:lang w:val="en-US" w:eastAsia="zh-CN" w:bidi="ar-SA"/>
              </w:rPr>
              <w:t>1867</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bCs/>
                <w:sz w:val="20"/>
                <w:szCs w:val="20"/>
                <w:highlight w:val="none"/>
                <w:lang w:val="en-US" w:eastAsia="zh-CN"/>
              </w:rPr>
              <w:t>100.00</w:t>
            </w:r>
          </w:p>
        </w:tc>
      </w:tr>
    </w:tbl>
    <w:p>
      <w:pPr>
        <w:numPr>
          <w:ilvl w:val="0"/>
          <w:numId w:val="0"/>
        </w:numPr>
        <w:jc w:val="left"/>
        <w:rPr>
          <w:rFonts w:hint="eastAsia"/>
          <w:sz w:val="28"/>
          <w:szCs w:val="28"/>
          <w:lang w:val="en-US" w:eastAsia="zh-CN"/>
        </w:rPr>
      </w:pPr>
    </w:p>
    <w:p>
      <w:pPr>
        <w:numPr>
          <w:ilvl w:val="0"/>
          <w:numId w:val="6"/>
        </w:numPr>
        <w:ind w:left="0" w:leftChars="0" w:firstLine="0" w:firstLineChars="0"/>
        <w:jc w:val="left"/>
        <w:rPr>
          <w:rFonts w:hint="eastAsia"/>
          <w:sz w:val="28"/>
          <w:szCs w:val="28"/>
          <w:highlight w:val="none"/>
          <w:lang w:val="en-US" w:eastAsia="zh-CN"/>
        </w:rPr>
      </w:pPr>
      <w:r>
        <w:rPr>
          <w:rFonts w:hint="eastAsia"/>
          <w:sz w:val="28"/>
          <w:szCs w:val="28"/>
          <w:highlight w:val="none"/>
          <w:lang w:val="en-US" w:eastAsia="zh-CN"/>
        </w:rPr>
        <w:t>高校所在地（邵阳）就业情况</w:t>
      </w:r>
    </w:p>
    <w:p>
      <w:pPr>
        <w:numPr>
          <w:ilvl w:val="0"/>
          <w:numId w:val="0"/>
        </w:numPr>
        <w:ind w:firstLine="560" w:firstLineChars="200"/>
        <w:jc w:val="left"/>
        <w:rPr>
          <w:rFonts w:hint="eastAsia"/>
          <w:sz w:val="28"/>
          <w:szCs w:val="28"/>
          <w:lang w:val="en-US" w:eastAsia="zh-CN"/>
        </w:rPr>
      </w:pPr>
      <w:r>
        <w:rPr>
          <w:rFonts w:hint="eastAsia"/>
          <w:sz w:val="28"/>
          <w:szCs w:val="28"/>
          <w:lang w:val="en-US" w:eastAsia="zh-CN"/>
        </w:rPr>
        <w:t>2023届毕业生在邵阳地区就业人数为1043人，占比为</w:t>
      </w:r>
      <w:r>
        <w:rPr>
          <w:rFonts w:hint="eastAsia"/>
          <w:sz w:val="28"/>
          <w:szCs w:val="28"/>
          <w:highlight w:val="none"/>
          <w:lang w:val="en-US" w:eastAsia="zh-CN"/>
        </w:rPr>
        <w:t>32.13</w:t>
      </w:r>
      <w:r>
        <w:rPr>
          <w:rFonts w:hint="eastAsia"/>
          <w:sz w:val="28"/>
          <w:szCs w:val="28"/>
          <w:lang w:val="en-US" w:eastAsia="zh-CN"/>
        </w:rPr>
        <w:t>%。</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highlight w:val="none"/>
          <w:lang w:val="en-US" w:eastAsia="zh-CN"/>
        </w:rPr>
        <w:t>2</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1</w:t>
      </w:r>
      <w:r>
        <w:rPr>
          <w:rFonts w:hint="eastAsia" w:asciiTheme="minorEastAsia" w:hAnsiTheme="minorEastAsia" w:eastAsiaTheme="minorEastAsia"/>
          <w:sz w:val="20"/>
          <w:szCs w:val="20"/>
          <w:lang w:val="en-US" w:eastAsia="zh-CN"/>
        </w:rPr>
        <w:t xml:space="preserve">  高校所在地（邵阳）就业情况</w:t>
      </w:r>
    </w:p>
    <w:p>
      <w:pPr>
        <w:pStyle w:val="6"/>
        <w:jc w:val="center"/>
        <w:rPr>
          <w:rFonts w:hint="eastAsia"/>
          <w:lang w:val="en-US" w:eastAsia="zh-CN"/>
        </w:rPr>
      </w:pPr>
      <w:r>
        <w:rPr>
          <w:rFonts w:hint="eastAsia"/>
          <w:sz w:val="28"/>
          <w:szCs w:val="28"/>
          <w:lang w:val="en-US" w:eastAsia="zh-CN"/>
        </w:rPr>
        <w:drawing>
          <wp:inline distT="0" distB="0" distL="114300" distR="114300">
            <wp:extent cx="3523615" cy="2635885"/>
            <wp:effectExtent l="4445" t="4445" r="15240" b="762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numPr>
          <w:ilvl w:val="0"/>
          <w:numId w:val="0"/>
        </w:numPr>
        <w:jc w:val="left"/>
        <w:rPr>
          <w:rFonts w:hint="eastAsia"/>
          <w:sz w:val="28"/>
          <w:szCs w:val="28"/>
          <w:lang w:val="en-US" w:eastAsia="zh-CN"/>
        </w:rPr>
      </w:pPr>
      <w:r>
        <w:rPr>
          <w:rFonts w:hint="eastAsia"/>
          <w:sz w:val="28"/>
          <w:szCs w:val="28"/>
          <w:lang w:val="en-US" w:eastAsia="zh-CN"/>
        </w:rPr>
        <w:t xml:space="preserve">      </w:t>
      </w: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pStyle w:val="10"/>
        <w:ind w:left="0" w:leftChars="0" w:firstLine="0" w:firstLineChars="0"/>
        <w:rPr>
          <w:rFonts w:hint="eastAsia"/>
          <w:lang w:val="en-US" w:eastAsia="zh-CN"/>
        </w:rPr>
      </w:pPr>
    </w:p>
    <w:p>
      <w:pPr>
        <w:rPr>
          <w:rFonts w:hint="eastAsia"/>
          <w:lang w:val="en-US" w:eastAsia="zh-CN"/>
        </w:rPr>
      </w:pPr>
    </w:p>
    <w:p>
      <w:pPr>
        <w:numPr>
          <w:ilvl w:val="0"/>
          <w:numId w:val="0"/>
        </w:numPr>
        <w:jc w:val="left"/>
        <w:rPr>
          <w:rFonts w:hint="eastAsia"/>
          <w:sz w:val="28"/>
          <w:szCs w:val="28"/>
          <w:lang w:val="ru-RU" w:eastAsia="zh-CN"/>
        </w:rPr>
      </w:pPr>
    </w:p>
    <w:p>
      <w:pPr>
        <w:numPr>
          <w:ilvl w:val="0"/>
          <w:numId w:val="0"/>
        </w:numPr>
        <w:jc w:val="left"/>
        <w:rPr>
          <w:rFonts w:hint="eastAsia"/>
          <w:sz w:val="28"/>
          <w:szCs w:val="28"/>
          <w:lang w:val="ru-RU" w:eastAsia="zh-CN"/>
        </w:rPr>
      </w:pPr>
    </w:p>
    <w:p>
      <w:pPr>
        <w:pStyle w:val="6"/>
        <w:rPr>
          <w:rFonts w:hint="eastAsia"/>
          <w:sz w:val="28"/>
          <w:szCs w:val="28"/>
          <w:lang w:val="ru-RU" w:eastAsia="zh-CN"/>
        </w:rPr>
      </w:pPr>
    </w:p>
    <w:p>
      <w:pPr>
        <w:rPr>
          <w:rFonts w:hint="eastAsia"/>
          <w:lang w:val="ru-RU" w:eastAsia="zh-CN"/>
        </w:rPr>
      </w:pPr>
    </w:p>
    <w:p>
      <w:pPr>
        <w:pStyle w:val="6"/>
        <w:rPr>
          <w:rFonts w:hint="eastAsia"/>
          <w:lang w:val="ru-RU" w:eastAsia="zh-CN"/>
        </w:rPr>
      </w:pPr>
    </w:p>
    <w:p>
      <w:pPr>
        <w:numPr>
          <w:ilvl w:val="0"/>
          <w:numId w:val="7"/>
        </w:numPr>
        <w:jc w:val="center"/>
        <w:rPr>
          <w:rFonts w:hint="eastAsia"/>
          <w:sz w:val="36"/>
          <w:szCs w:val="36"/>
          <w:lang w:val="en-US" w:eastAsia="zh-CN"/>
        </w:rPr>
      </w:pPr>
      <w:r>
        <w:rPr>
          <w:rFonts w:hint="eastAsia"/>
          <w:sz w:val="36"/>
          <w:szCs w:val="36"/>
          <w:lang w:val="en-US" w:eastAsia="zh-CN"/>
        </w:rPr>
        <w:t>毕业生就业质量跟踪与反馈</w:t>
      </w:r>
    </w:p>
    <w:p>
      <w:pPr>
        <w:ind w:firstLine="560" w:firstLineChars="200"/>
        <w:jc w:val="left"/>
        <w:rPr>
          <w:rFonts w:hint="eastAsia" w:ascii="宋体" w:hAnsi="宋体" w:eastAsia="宋体" w:cs="宋体"/>
          <w:sz w:val="28"/>
          <w:szCs w:val="28"/>
          <w:highlight w:val="none"/>
        </w:rPr>
      </w:pPr>
      <w:r>
        <w:rPr>
          <w:rFonts w:hint="eastAsia"/>
          <w:sz w:val="28"/>
          <w:szCs w:val="28"/>
          <w:highlight w:val="none"/>
          <w:lang w:val="en-US" w:eastAsia="zh-CN"/>
        </w:rPr>
        <w:t>毕业生就业质量跟踪与反馈数据来源于湖南省大中专毕业生就业中心开展的2023届毕业生问卷调查，以及</w:t>
      </w:r>
      <w:r>
        <w:rPr>
          <w:rFonts w:hint="eastAsia" w:ascii="宋体" w:hAnsi="宋体" w:eastAsia="宋体" w:cs="宋体"/>
          <w:sz w:val="28"/>
          <w:szCs w:val="28"/>
          <w:highlight w:val="none"/>
          <w:lang w:eastAsia="zh-CN"/>
        </w:rPr>
        <w:t>根</w:t>
      </w:r>
      <w:r>
        <w:rPr>
          <w:rFonts w:hint="eastAsia" w:ascii="宋体" w:hAnsi="宋体" w:eastAsia="宋体" w:cs="宋体"/>
          <w:sz w:val="28"/>
          <w:szCs w:val="28"/>
          <w:highlight w:val="none"/>
        </w:rPr>
        <w:t>据</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湖南省人民政府关于做好当前和今后一段时期就业创业工作的实施意见》（湘政发</w:t>
      </w:r>
      <w:r>
        <w:rPr>
          <w:rFonts w:hint="eastAsia" w:ascii="宋体" w:hAnsi="宋体" w:eastAsia="宋体" w:cs="宋体"/>
          <w:sz w:val="28"/>
          <w:szCs w:val="28"/>
          <w:highlight w:val="none"/>
          <w:lang w:val="en-US" w:eastAsia="zh-CN"/>
        </w:rPr>
        <w:t>[2017]</w:t>
      </w:r>
      <w:r>
        <w:rPr>
          <w:rFonts w:hint="eastAsia" w:ascii="宋体" w:hAnsi="宋体" w:eastAsia="宋体" w:cs="宋体"/>
          <w:sz w:val="28"/>
          <w:szCs w:val="28"/>
          <w:highlight w:val="none"/>
        </w:rPr>
        <w:t>31号）的文件要求，我</w:t>
      </w:r>
      <w:r>
        <w:rPr>
          <w:rFonts w:hint="eastAsia" w:ascii="宋体" w:hAnsi="宋体" w:cs="宋体"/>
          <w:sz w:val="28"/>
          <w:szCs w:val="28"/>
          <w:highlight w:val="none"/>
          <w:lang w:val="en-US" w:eastAsia="zh-CN"/>
        </w:rPr>
        <w:t>校</w:t>
      </w:r>
      <w:r>
        <w:rPr>
          <w:rFonts w:hint="eastAsia" w:ascii="宋体" w:hAnsi="宋体" w:eastAsia="宋体" w:cs="宋体"/>
          <w:sz w:val="28"/>
          <w:szCs w:val="28"/>
          <w:highlight w:val="none"/>
        </w:rPr>
        <w:t>设计</w:t>
      </w:r>
      <w:r>
        <w:rPr>
          <w:rFonts w:hint="eastAsia" w:ascii="宋体" w:hAnsi="宋体" w:cs="宋体"/>
          <w:sz w:val="28"/>
          <w:szCs w:val="28"/>
          <w:highlight w:val="none"/>
          <w:lang w:val="en-US" w:eastAsia="zh-CN"/>
        </w:rPr>
        <w:t>的</w:t>
      </w:r>
      <w:r>
        <w:rPr>
          <w:rFonts w:hint="eastAsia" w:ascii="宋体" w:hAnsi="宋体" w:eastAsia="宋体" w:cs="宋体"/>
          <w:sz w:val="28"/>
          <w:szCs w:val="28"/>
          <w:highlight w:val="none"/>
        </w:rPr>
        <w:t>毕业生跟踪调查问卷。时间从20</w:t>
      </w:r>
      <w:r>
        <w:rPr>
          <w:rFonts w:hint="eastAsia" w:ascii="宋体" w:hAnsi="宋体" w:cs="宋体"/>
          <w:sz w:val="28"/>
          <w:szCs w:val="28"/>
          <w:highlight w:val="none"/>
          <w:lang w:val="en-US" w:eastAsia="zh-CN"/>
        </w:rPr>
        <w:t>23</w:t>
      </w:r>
      <w:r>
        <w:rPr>
          <w:rFonts w:hint="eastAsia" w:ascii="宋体" w:hAnsi="宋体" w:eastAsia="宋体" w:cs="宋体"/>
          <w:sz w:val="28"/>
          <w:szCs w:val="28"/>
          <w:highlight w:val="none"/>
        </w:rPr>
        <w:t>年5月下旬开始，截止时间为20</w:t>
      </w:r>
      <w:r>
        <w:rPr>
          <w:rFonts w:hint="eastAsia" w:ascii="宋体" w:hAnsi="宋体" w:eastAsia="宋体" w:cs="宋体"/>
          <w:sz w:val="28"/>
          <w:szCs w:val="28"/>
          <w:highlight w:val="none"/>
          <w:lang w:val="en-US" w:eastAsia="zh-CN"/>
        </w:rPr>
        <w:t>2</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rPr>
        <w:t>年1</w:t>
      </w:r>
      <w:r>
        <w:rPr>
          <w:rFonts w:hint="eastAsia" w:ascii="宋体" w:hAnsi="宋体" w:cs="宋体"/>
          <w:sz w:val="28"/>
          <w:szCs w:val="28"/>
          <w:highlight w:val="none"/>
          <w:lang w:val="en-US" w:eastAsia="zh-CN"/>
        </w:rPr>
        <w:t>1</w:t>
      </w:r>
      <w:r>
        <w:rPr>
          <w:rFonts w:hint="eastAsia" w:ascii="宋体" w:hAnsi="宋体" w:eastAsia="宋体" w:cs="宋体"/>
          <w:sz w:val="28"/>
          <w:szCs w:val="28"/>
          <w:highlight w:val="none"/>
        </w:rPr>
        <w:t>月</w:t>
      </w:r>
      <w:r>
        <w:rPr>
          <w:rFonts w:hint="eastAsia" w:ascii="宋体" w:hAnsi="宋体" w:cs="宋体"/>
          <w:sz w:val="28"/>
          <w:szCs w:val="28"/>
          <w:highlight w:val="none"/>
          <w:lang w:val="en-US" w:eastAsia="zh-CN"/>
        </w:rPr>
        <w:t>12</w:t>
      </w:r>
      <w:r>
        <w:rPr>
          <w:rFonts w:hint="eastAsia" w:ascii="宋体" w:hAnsi="宋体" w:eastAsia="宋体" w:cs="宋体"/>
          <w:sz w:val="28"/>
          <w:szCs w:val="28"/>
          <w:highlight w:val="none"/>
        </w:rPr>
        <w:t>日。我</w:t>
      </w:r>
      <w:r>
        <w:rPr>
          <w:rFonts w:hint="eastAsia" w:ascii="宋体" w:hAnsi="宋体" w:cs="宋体"/>
          <w:sz w:val="28"/>
          <w:szCs w:val="28"/>
          <w:highlight w:val="none"/>
          <w:lang w:val="en-US" w:eastAsia="zh-CN"/>
        </w:rPr>
        <w:t>校</w:t>
      </w:r>
      <w:r>
        <w:rPr>
          <w:rFonts w:hint="eastAsia" w:ascii="宋体" w:hAnsi="宋体" w:eastAsia="宋体" w:cs="宋体"/>
          <w:sz w:val="28"/>
          <w:szCs w:val="28"/>
          <w:highlight w:val="none"/>
        </w:rPr>
        <w:t>共回收毕业生跟踪调查有效问卷</w:t>
      </w:r>
      <w:r>
        <w:rPr>
          <w:rFonts w:hint="eastAsia" w:ascii="宋体" w:hAnsi="宋体" w:cs="宋体"/>
          <w:sz w:val="28"/>
          <w:szCs w:val="28"/>
          <w:highlight w:val="none"/>
          <w:lang w:val="en-US" w:eastAsia="zh-CN"/>
        </w:rPr>
        <w:t>1045</w:t>
      </w:r>
      <w:r>
        <w:rPr>
          <w:rFonts w:hint="eastAsia" w:ascii="宋体" w:hAnsi="宋体" w:eastAsia="宋体" w:cs="宋体"/>
          <w:sz w:val="28"/>
          <w:szCs w:val="28"/>
          <w:highlight w:val="none"/>
        </w:rPr>
        <w:t>份。</w:t>
      </w:r>
    </w:p>
    <w:p>
      <w:pPr>
        <w:jc w:val="center"/>
        <w:rPr>
          <w:rFonts w:ascii="宋体" w:hAnsi="宋体" w:eastAsia="宋体"/>
          <w:sz w:val="20"/>
          <w:szCs w:val="20"/>
          <w:highlight w:val="none"/>
          <w:lang w:val="ru-RU"/>
        </w:rPr>
      </w:pPr>
      <w:r>
        <w:rPr>
          <w:rFonts w:hint="eastAsia" w:ascii="宋体" w:hAnsi="宋体" w:eastAsia="宋体"/>
          <w:sz w:val="20"/>
          <w:szCs w:val="20"/>
          <w:highlight w:val="none"/>
          <w:lang w:val="ru-RU"/>
        </w:rPr>
        <w:t>表</w:t>
      </w:r>
      <w:r>
        <w:rPr>
          <w:rFonts w:ascii="宋体" w:hAnsi="宋体" w:eastAsia="宋体"/>
          <w:sz w:val="20"/>
          <w:szCs w:val="20"/>
          <w:highlight w:val="none"/>
          <w:lang w:val="ru-RU"/>
        </w:rPr>
        <w:t xml:space="preserve"> 3-1 20</w:t>
      </w:r>
      <w:r>
        <w:rPr>
          <w:rFonts w:hint="eastAsia" w:ascii="宋体" w:hAnsi="宋体" w:eastAsia="宋体"/>
          <w:sz w:val="20"/>
          <w:szCs w:val="20"/>
          <w:highlight w:val="none"/>
          <w:lang w:val="en-US" w:eastAsia="zh-CN"/>
        </w:rPr>
        <w:t>2</w:t>
      </w:r>
      <w:r>
        <w:rPr>
          <w:rFonts w:hint="eastAsia" w:ascii="宋体" w:hAnsi="宋体"/>
          <w:sz w:val="20"/>
          <w:szCs w:val="20"/>
          <w:highlight w:val="none"/>
          <w:lang w:val="en-US" w:eastAsia="zh-CN"/>
        </w:rPr>
        <w:t>3</w:t>
      </w:r>
      <w:r>
        <w:rPr>
          <w:rFonts w:hint="eastAsia" w:ascii="宋体" w:hAnsi="宋体" w:eastAsia="宋体"/>
          <w:sz w:val="20"/>
          <w:szCs w:val="20"/>
          <w:highlight w:val="none"/>
          <w:lang w:val="ru-RU"/>
        </w:rPr>
        <w:t>届各专业样本回收情况</w:t>
      </w:r>
    </w:p>
    <w:p>
      <w:pPr>
        <w:jc w:val="right"/>
        <w:rPr>
          <w:rFonts w:hint="eastAsia" w:ascii="宋体" w:hAnsi="宋体" w:eastAsia="宋体"/>
          <w:sz w:val="20"/>
          <w:szCs w:val="20"/>
          <w:highlight w:val="none"/>
          <w:lang w:val="ru-RU"/>
        </w:rPr>
      </w:pPr>
      <w:r>
        <w:rPr>
          <w:rFonts w:hint="eastAsia" w:ascii="宋体" w:hAnsi="宋体" w:eastAsia="宋体"/>
          <w:sz w:val="20"/>
          <w:szCs w:val="20"/>
          <w:highlight w:val="none"/>
          <w:lang w:val="ru-RU"/>
        </w:rPr>
        <w:t>单位：人数（人）、样本量、回收率（%）</w:t>
      </w:r>
    </w:p>
    <w:p>
      <w:pPr>
        <w:pStyle w:val="6"/>
        <w:rPr>
          <w:highlight w:val="none"/>
          <w:lang w:val="ru-RU"/>
        </w:rPr>
      </w:pPr>
    </w:p>
    <w:tbl>
      <w:tblPr>
        <w:tblStyle w:val="14"/>
        <w:tblW w:w="8342" w:type="dxa"/>
        <w:tblInd w:w="0" w:type="dxa"/>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Layout w:type="fixed"/>
        <w:tblCellMar>
          <w:top w:w="0" w:type="dxa"/>
          <w:left w:w="108" w:type="dxa"/>
          <w:bottom w:w="0" w:type="dxa"/>
          <w:right w:w="108" w:type="dxa"/>
        </w:tblCellMar>
      </w:tblPr>
      <w:tblGrid>
        <w:gridCol w:w="3575"/>
        <w:gridCol w:w="1526"/>
        <w:gridCol w:w="1665"/>
        <w:gridCol w:w="1576"/>
      </w:tblGrid>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专业</w:t>
            </w:r>
          </w:p>
        </w:tc>
        <w:tc>
          <w:tcPr>
            <w:tcW w:w="1526" w:type="dxa"/>
            <w:tcBorders>
              <w:top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人数</w:t>
            </w:r>
          </w:p>
        </w:tc>
        <w:tc>
          <w:tcPr>
            <w:tcW w:w="1665" w:type="dxa"/>
            <w:tcBorders>
              <w:top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样本量</w:t>
            </w:r>
          </w:p>
        </w:tc>
        <w:tc>
          <w:tcPr>
            <w:tcW w:w="1576" w:type="dxa"/>
            <w:tcBorders>
              <w:top w:val="single" w:color="4BACC6" w:sz="8" w:space="0"/>
              <w:bottom w:val="single" w:color="4BACC6" w:sz="18" w:space="0"/>
              <w:right w:val="single" w:color="4BACC6" w:sz="8" w:space="0"/>
            </w:tcBorders>
            <w:shd w:val="clear" w:color="auto" w:fill="4BACC6"/>
            <w:noWrap w:val="0"/>
            <w:vAlign w:val="top"/>
          </w:tcPr>
          <w:p>
            <w:pPr>
              <w:spacing w:before="0" w:after="0" w:line="240" w:lineRule="auto"/>
              <w:jc w:val="center"/>
              <w:rPr>
                <w:rFonts w:ascii="宋体" w:hAnsi="宋体" w:eastAsia="宋体" w:cs="Times New Roman"/>
                <w:b w:val="0"/>
                <w:bCs/>
                <w:sz w:val="20"/>
                <w:szCs w:val="20"/>
                <w:highlight w:val="none"/>
                <w:lang w:val="ru-RU"/>
              </w:rPr>
            </w:pPr>
            <w:r>
              <w:rPr>
                <w:rFonts w:hint="eastAsia" w:ascii="宋体" w:hAnsi="宋体" w:eastAsia="宋体" w:cs="Times New Roman"/>
                <w:b w:val="0"/>
                <w:bCs/>
                <w:sz w:val="20"/>
                <w:szCs w:val="20"/>
                <w:highlight w:val="none"/>
                <w:lang w:val="ru-RU"/>
              </w:rPr>
              <w:t>回收率</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cs="Times New Roman"/>
                <w:b w:val="0"/>
                <w:bCs/>
                <w:sz w:val="20"/>
                <w:szCs w:val="20"/>
                <w:highlight w:val="yellow"/>
                <w:lang w:val="en-US" w:eastAsia="zh-CN"/>
              </w:rPr>
            </w:pPr>
            <w:r>
              <w:rPr>
                <w:rStyle w:val="27"/>
                <w:lang w:val="en-US" w:eastAsia="zh-CN" w:bidi="ar"/>
              </w:rPr>
              <w:t>会计</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403</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95.0%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文秘</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166</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旅游管理</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118</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金融管理</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58</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15</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电梯工程技术</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252</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80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92.5%</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cs="Times New Roman"/>
                <w:b w:val="0"/>
                <w:bCs/>
                <w:sz w:val="20"/>
                <w:szCs w:val="20"/>
                <w:highlight w:val="yellow"/>
                <w:lang w:val="en-US" w:eastAsia="zh-CN"/>
              </w:rPr>
            </w:pPr>
            <w:r>
              <w:rPr>
                <w:rStyle w:val="27"/>
                <w:lang w:val="en-US" w:eastAsia="zh-CN" w:bidi="ar"/>
              </w:rPr>
              <w:t>机电一体化技术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221</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80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95.0%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物联网应用技术</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36</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电子商务</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433</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93.0%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服装与服饰设计</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91</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30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广告设计与制作</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96.0%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动物医学</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266</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80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药品生产技术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81</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30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宠物临床诊疗技术</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38</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15</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52"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sz w:val="20"/>
                <w:szCs w:val="20"/>
                <w:highlight w:val="yellow"/>
                <w:lang w:val="ru-RU"/>
              </w:rPr>
            </w:pPr>
            <w:r>
              <w:rPr>
                <w:rStyle w:val="27"/>
                <w:lang w:val="en-US" w:eastAsia="zh-CN" w:bidi="ar"/>
              </w:rPr>
              <w:t>汽车检测与维修技术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168</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50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sz w:val="20"/>
                <w:szCs w:val="20"/>
                <w:highlight w:val="none"/>
                <w:lang w:val="ru-RU"/>
              </w:rPr>
            </w:pPr>
            <w:r>
              <w:rPr>
                <w:rFonts w:hint="eastAsia" w:ascii="宋体" w:hAnsi="宋体" w:eastAsia="宋体" w:cs="宋体"/>
                <w:i w:val="0"/>
                <w:iCs w:val="0"/>
                <w:color w:val="000000"/>
                <w:kern w:val="0"/>
                <w:sz w:val="20"/>
                <w:szCs w:val="20"/>
                <w:u w:val="none"/>
                <w:lang w:val="en-US" w:eastAsia="zh-CN" w:bidi="ar"/>
              </w:rPr>
              <w:t>92.0%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61"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cs="Times New Roman"/>
                <w:b w:val="0"/>
                <w:bCs/>
                <w:sz w:val="20"/>
                <w:szCs w:val="20"/>
                <w:highlight w:val="yellow"/>
                <w:lang w:val="en-US" w:eastAsia="zh-CN"/>
              </w:rPr>
            </w:pPr>
            <w:r>
              <w:rPr>
                <w:rStyle w:val="27"/>
                <w:lang w:val="en-US" w:eastAsia="zh-CN" w:bidi="ar"/>
              </w:rPr>
              <w:t>工业机器人技术</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188</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50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kern w:val="2"/>
                <w:sz w:val="20"/>
                <w:szCs w:val="20"/>
                <w:highlight w:val="yellow"/>
                <w:lang w:val="ru-RU" w:eastAsia="zh-CN" w:bidi="ar-SA"/>
              </w:rPr>
            </w:pPr>
            <w:r>
              <w:rPr>
                <w:rStyle w:val="27"/>
                <w:lang w:val="en-US" w:eastAsia="zh-CN" w:bidi="ar"/>
              </w:rPr>
              <w:t>建筑工程技术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yellow"/>
                <w:lang w:val="en-US" w:eastAsia="zh-CN" w:bidi="ar-SA"/>
              </w:rPr>
            </w:pPr>
            <w:r>
              <w:rPr>
                <w:rFonts w:hint="eastAsia" w:ascii="宋体" w:hAnsi="宋体" w:eastAsia="宋体" w:cs="宋体"/>
                <w:i w:val="0"/>
                <w:iCs w:val="0"/>
                <w:color w:val="000000"/>
                <w:kern w:val="0"/>
                <w:sz w:val="20"/>
                <w:szCs w:val="20"/>
                <w:u w:val="none"/>
                <w:lang w:val="en-US" w:eastAsia="zh-CN" w:bidi="ar"/>
              </w:rPr>
              <w:t>496</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kern w:val="2"/>
                <w:sz w:val="20"/>
                <w:szCs w:val="20"/>
                <w:highlight w:val="none"/>
                <w:lang w:val="ru-RU" w:eastAsia="zh-CN" w:bidi="ar-SA"/>
              </w:rPr>
            </w:pPr>
            <w:r>
              <w:rPr>
                <w:rFonts w:hint="eastAsia" w:ascii="宋体" w:hAnsi="宋体" w:eastAsia="宋体" w:cs="宋体"/>
                <w:i w:val="0"/>
                <w:iCs w:val="0"/>
                <w:color w:val="000000"/>
                <w:kern w:val="0"/>
                <w:sz w:val="20"/>
                <w:szCs w:val="20"/>
                <w:u w:val="none"/>
                <w:lang w:val="en-US" w:eastAsia="zh-CN" w:bidi="ar"/>
              </w:rPr>
              <w:t>91.0%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b w:val="0"/>
                <w:bCs/>
                <w:kern w:val="2"/>
                <w:sz w:val="20"/>
                <w:szCs w:val="20"/>
                <w:highlight w:val="yellow"/>
                <w:lang w:val="ru-RU" w:eastAsia="zh-CN" w:bidi="ar-SA"/>
              </w:rPr>
            </w:pPr>
            <w:r>
              <w:rPr>
                <w:rStyle w:val="27"/>
                <w:lang w:val="en-US" w:eastAsia="zh-CN" w:bidi="ar"/>
              </w:rPr>
              <w:t>工程造价</w:t>
            </w:r>
          </w:p>
        </w:tc>
        <w:tc>
          <w:tcPr>
            <w:tcW w:w="152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yellow"/>
                <w:lang w:val="en-US" w:eastAsia="zh-CN" w:bidi="ar-SA"/>
              </w:rPr>
            </w:pPr>
            <w:r>
              <w:rPr>
                <w:rFonts w:hint="eastAsia" w:ascii="宋体" w:hAnsi="宋体" w:eastAsia="宋体" w:cs="宋体"/>
                <w:i w:val="0"/>
                <w:iCs w:val="0"/>
                <w:color w:val="000000"/>
                <w:kern w:val="0"/>
                <w:sz w:val="20"/>
                <w:szCs w:val="20"/>
                <w:u w:val="none"/>
                <w:lang w:val="en-US" w:eastAsia="zh-CN" w:bidi="ar"/>
              </w:rPr>
              <w:t>79</w:t>
            </w:r>
          </w:p>
        </w:tc>
        <w:tc>
          <w:tcPr>
            <w:tcW w:w="1665"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576" w:type="dxa"/>
            <w:tcBorders>
              <w:top w:val="single" w:color="4BACC6" w:sz="8" w:space="0"/>
              <w:bottom w:val="single" w:color="4BACC6" w:sz="8" w:space="0"/>
              <w:right w:val="single" w:color="4BACC6" w:sz="8" w:space="0"/>
            </w:tcBorders>
            <w:noWrap w:val="0"/>
            <w:vAlign w:val="top"/>
          </w:tcPr>
          <w:p>
            <w:pPr>
              <w:keepNext w:val="0"/>
              <w:keepLines w:val="0"/>
              <w:widowControl/>
              <w:suppressLineNumbers w:val="0"/>
              <w:jc w:val="center"/>
              <w:textAlignment w:val="top"/>
              <w:rPr>
                <w:rFonts w:ascii="宋体" w:hAnsi="宋体" w:eastAsia="宋体" w:cs="Times New Roman"/>
                <w:kern w:val="2"/>
                <w:sz w:val="20"/>
                <w:szCs w:val="20"/>
                <w:highlight w:val="none"/>
                <w:lang w:val="ru-RU" w:eastAsia="zh-CN" w:bidi="ar-SA"/>
              </w:rPr>
            </w:pPr>
            <w:r>
              <w:rPr>
                <w:rFonts w:hint="eastAsia" w:ascii="宋体" w:hAnsi="宋体" w:eastAsia="宋体" w:cs="宋体"/>
                <w:i w:val="0"/>
                <w:iCs w:val="0"/>
                <w:color w:val="000000"/>
                <w:kern w:val="0"/>
                <w:sz w:val="20"/>
                <w:szCs w:val="20"/>
                <w:u w:val="none"/>
                <w:lang w:val="en-US" w:eastAsia="zh-CN" w:bidi="ar"/>
              </w:rPr>
              <w:t>100.0%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b w:val="0"/>
                <w:bCs/>
                <w:kern w:val="2"/>
                <w:sz w:val="20"/>
                <w:szCs w:val="20"/>
                <w:highlight w:val="yellow"/>
                <w:lang w:val="ru-RU" w:eastAsia="zh-CN" w:bidi="ar-SA"/>
              </w:rPr>
            </w:pPr>
            <w:r>
              <w:rPr>
                <w:rStyle w:val="27"/>
                <w:lang w:val="en-US" w:eastAsia="zh-CN" w:bidi="ar"/>
              </w:rPr>
              <w:t>建筑装饰工程技术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yellow"/>
                <w:lang w:val="en-US" w:eastAsia="zh-CN" w:bidi="ar-SA"/>
              </w:rPr>
            </w:pPr>
            <w:r>
              <w:rPr>
                <w:rFonts w:hint="eastAsia" w:ascii="宋体" w:hAnsi="宋体" w:eastAsia="宋体" w:cs="宋体"/>
                <w:i w:val="0"/>
                <w:iCs w:val="0"/>
                <w:color w:val="000000"/>
                <w:kern w:val="0"/>
                <w:sz w:val="20"/>
                <w:szCs w:val="20"/>
                <w:u w:val="none"/>
                <w:lang w:val="en-US" w:eastAsia="zh-CN" w:bidi="ar"/>
              </w:rPr>
              <w:t>143</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50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ascii="宋体" w:hAnsi="宋体" w:eastAsia="宋体" w:cs="Times New Roman"/>
                <w:kern w:val="2"/>
                <w:sz w:val="20"/>
                <w:szCs w:val="20"/>
                <w:highlight w:val="none"/>
                <w:lang w:val="ru-RU" w:eastAsia="zh-CN" w:bidi="ar-SA"/>
              </w:rPr>
            </w:pPr>
            <w:r>
              <w:rPr>
                <w:rFonts w:hint="eastAsia" w:ascii="宋体" w:hAnsi="宋体" w:eastAsia="宋体" w:cs="宋体"/>
                <w:i w:val="0"/>
                <w:iCs w:val="0"/>
                <w:color w:val="000000"/>
                <w:kern w:val="0"/>
                <w:sz w:val="20"/>
                <w:szCs w:val="20"/>
                <w:u w:val="none"/>
                <w:lang w:val="en-US" w:eastAsia="zh-CN" w:bidi="ar"/>
              </w:rPr>
              <w:t>96.0%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auto"/>
            <w:noWrap w:val="0"/>
            <w:vAlign w:val="top"/>
          </w:tcPr>
          <w:p>
            <w:pPr>
              <w:keepNext w:val="0"/>
              <w:keepLines w:val="0"/>
              <w:widowControl/>
              <w:suppressLineNumbers w:val="0"/>
              <w:jc w:val="center"/>
              <w:textAlignment w:val="top"/>
              <w:rPr>
                <w:rFonts w:hint="default" w:ascii="宋体" w:hAnsi="宋体" w:eastAsia="宋体" w:cs="Times New Roman"/>
                <w:b w:val="0"/>
                <w:bCs/>
                <w:kern w:val="2"/>
                <w:sz w:val="20"/>
                <w:szCs w:val="20"/>
                <w:highlight w:val="yellow"/>
                <w:lang w:val="en-US" w:eastAsia="zh-CN" w:bidi="ar-SA"/>
              </w:rPr>
            </w:pPr>
            <w:r>
              <w:rPr>
                <w:rStyle w:val="27"/>
                <w:lang w:val="en-US" w:eastAsia="zh-CN" w:bidi="ar"/>
              </w:rPr>
              <w:t>计算机应用技术</w:t>
            </w:r>
          </w:p>
        </w:tc>
        <w:tc>
          <w:tcPr>
            <w:tcW w:w="1526" w:type="dxa"/>
            <w:tcBorders>
              <w:top w:val="single" w:color="4BACC6" w:sz="8" w:space="0"/>
              <w:bottom w:val="single" w:color="4BACC6" w:sz="8" w:space="0"/>
              <w:right w:val="single" w:color="4BACC6" w:sz="8" w:space="0"/>
            </w:tcBorders>
            <w:shd w:val="clear" w:color="auto" w:fill="auto"/>
            <w:noWrap w:val="0"/>
            <w:vAlign w:val="top"/>
          </w:tcPr>
          <w:p>
            <w:pPr>
              <w:keepNext w:val="0"/>
              <w:keepLines w:val="0"/>
              <w:widowControl/>
              <w:suppressLineNumbers w:val="0"/>
              <w:jc w:val="center"/>
              <w:textAlignment w:val="top"/>
              <w:rPr>
                <w:rFonts w:hint="default" w:ascii="宋体" w:hAnsi="宋体" w:eastAsia="宋体" w:cs="Times New Roman"/>
                <w:kern w:val="2"/>
                <w:sz w:val="20"/>
                <w:szCs w:val="20"/>
                <w:highlight w:val="yellow"/>
                <w:lang w:val="en-US" w:eastAsia="zh-CN" w:bidi="ar-SA"/>
              </w:rPr>
            </w:pPr>
            <w:r>
              <w:rPr>
                <w:rFonts w:hint="eastAsia" w:ascii="宋体" w:hAnsi="宋体" w:eastAsia="宋体" w:cs="宋体"/>
                <w:i w:val="0"/>
                <w:iCs w:val="0"/>
                <w:color w:val="000000"/>
                <w:kern w:val="0"/>
                <w:sz w:val="20"/>
                <w:szCs w:val="20"/>
                <w:u w:val="none"/>
                <w:lang w:val="en-US" w:eastAsia="zh-CN" w:bidi="ar"/>
              </w:rPr>
              <w:t>477</w:t>
            </w:r>
          </w:p>
        </w:tc>
        <w:tc>
          <w:tcPr>
            <w:tcW w:w="1665" w:type="dxa"/>
            <w:tcBorders>
              <w:top w:val="single" w:color="4BACC6" w:sz="8" w:space="0"/>
              <w:bottom w:val="single" w:color="4BACC6" w:sz="8" w:space="0"/>
              <w:right w:val="single" w:color="4BACC6" w:sz="8" w:space="0"/>
            </w:tcBorders>
            <w:shd w:val="clear" w:color="auto" w:fill="auto"/>
            <w:noWrap w:val="0"/>
            <w:vAlign w:val="top"/>
          </w:tcPr>
          <w:p>
            <w:pPr>
              <w:keepNext w:val="0"/>
              <w:keepLines w:val="0"/>
              <w:widowControl/>
              <w:suppressLineNumbers w:val="0"/>
              <w:jc w:val="center"/>
              <w:textAlignment w:val="top"/>
              <w:rPr>
                <w:rFonts w:hint="eastAsia" w:ascii="宋体" w:hAnsi="宋体" w:eastAsia="宋体" w:cs="Times New Roman"/>
                <w:kern w:val="2"/>
                <w:sz w:val="20"/>
                <w:szCs w:val="20"/>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1576" w:type="dxa"/>
            <w:tcBorders>
              <w:top w:val="single" w:color="4BACC6" w:sz="8" w:space="0"/>
              <w:bottom w:val="single" w:color="4BACC6" w:sz="8" w:space="0"/>
              <w:right w:val="single" w:color="4BACC6" w:sz="8" w:space="0"/>
            </w:tcBorders>
            <w:shd w:val="clear" w:color="auto" w:fill="auto"/>
            <w:noWrap w:val="0"/>
            <w:vAlign w:val="top"/>
          </w:tcPr>
          <w:p>
            <w:pPr>
              <w:keepNext w:val="0"/>
              <w:keepLines w:val="0"/>
              <w:widowControl/>
              <w:suppressLineNumbers w:val="0"/>
              <w:jc w:val="center"/>
              <w:textAlignment w:val="top"/>
              <w:rPr>
                <w:rFonts w:hint="eastAsia" w:ascii="宋体" w:hAnsi="宋体" w:eastAsia="宋体" w:cs="Times New Roman"/>
                <w:kern w:val="2"/>
                <w:sz w:val="20"/>
                <w:szCs w:val="20"/>
                <w:highlight w:val="none"/>
                <w:lang w:val="ru-RU" w:eastAsia="zh-CN" w:bidi="ar-SA"/>
              </w:rPr>
            </w:pPr>
            <w:r>
              <w:rPr>
                <w:rFonts w:hint="eastAsia" w:ascii="宋体" w:hAnsi="宋体" w:eastAsia="宋体" w:cs="宋体"/>
                <w:i w:val="0"/>
                <w:iCs w:val="0"/>
                <w:color w:val="000000"/>
                <w:kern w:val="0"/>
                <w:sz w:val="20"/>
                <w:szCs w:val="20"/>
                <w:u w:val="none"/>
                <w:lang w:val="en-US" w:eastAsia="zh-CN" w:bidi="ar"/>
              </w:rPr>
              <w:t>94.0%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cs="Times New Roman"/>
                <w:b w:val="0"/>
                <w:bCs/>
                <w:sz w:val="20"/>
                <w:szCs w:val="20"/>
                <w:highlight w:val="yellow"/>
                <w:lang w:val="en-US" w:eastAsia="zh-CN"/>
              </w:rPr>
            </w:pPr>
            <w:r>
              <w:rPr>
                <w:rStyle w:val="27"/>
                <w:lang w:val="en-US" w:eastAsia="zh-CN" w:bidi="ar"/>
              </w:rPr>
              <w:t>计算机网络技术</w:t>
            </w:r>
          </w:p>
        </w:tc>
        <w:tc>
          <w:tcPr>
            <w:tcW w:w="152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79</w:t>
            </w:r>
          </w:p>
        </w:tc>
        <w:tc>
          <w:tcPr>
            <w:tcW w:w="1665"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30</w:t>
            </w:r>
          </w:p>
        </w:tc>
        <w:tc>
          <w:tcPr>
            <w:tcW w:w="1576" w:type="dxa"/>
            <w:tcBorders>
              <w:top w:val="single" w:color="4BACC6" w:sz="8" w:space="0"/>
              <w:bottom w:val="single" w:color="4BACC6" w:sz="8" w:space="0"/>
              <w:right w:val="single" w:color="4BACC6" w:sz="8" w:space="0"/>
            </w:tcBorders>
            <w:shd w:val="clear" w:color="auto" w:fill="D2EAF0"/>
            <w:noWrap w:val="0"/>
            <w:vAlign w:val="top"/>
          </w:tcPr>
          <w:p>
            <w:pPr>
              <w:keepNext w:val="0"/>
              <w:keepLines w:val="0"/>
              <w:widowControl/>
              <w:suppressLineNumbers w:val="0"/>
              <w:jc w:val="center"/>
              <w:textAlignment w:val="top"/>
              <w:rPr>
                <w:rFonts w:hint="default" w:ascii="宋体" w:hAnsi="宋体" w:eastAsia="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90.0%</w:t>
            </w:r>
          </w:p>
        </w:tc>
      </w:tr>
      <w:tr>
        <w:tblPrEx>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Ex>
        <w:trPr>
          <w:trHeight w:val="335" w:hRule="atLeast"/>
        </w:trPr>
        <w:tc>
          <w:tcPr>
            <w:tcW w:w="3575" w:type="dxa"/>
            <w:tcBorders>
              <w:top w:val="single" w:color="4BACC6" w:sz="8" w:space="0"/>
              <w:left w:val="single" w:color="4BACC6" w:sz="8" w:space="0"/>
              <w:bottom w:val="single" w:color="4BACC6" w:sz="8" w:space="0"/>
              <w:right w:val="single" w:color="4BACC6" w:sz="8" w:space="0"/>
            </w:tcBorders>
            <w:shd w:val="clear" w:color="auto" w:fill="FFFFFF" w:themeFill="background1"/>
            <w:noWrap w:val="0"/>
            <w:vAlign w:val="top"/>
          </w:tcPr>
          <w:p>
            <w:pPr>
              <w:keepNext w:val="0"/>
              <w:keepLines w:val="0"/>
              <w:widowControl/>
              <w:suppressLineNumbers w:val="0"/>
              <w:jc w:val="center"/>
              <w:textAlignment w:val="top"/>
              <w:rPr>
                <w:rFonts w:hint="eastAsia" w:ascii="宋体" w:hAnsi="宋体" w:cs="Times New Roman"/>
                <w:b w:val="0"/>
                <w:bCs/>
                <w:sz w:val="20"/>
                <w:szCs w:val="20"/>
                <w:highlight w:val="yellow"/>
                <w:lang w:val="en-US" w:eastAsia="zh-CN"/>
              </w:rPr>
            </w:pPr>
            <w:r>
              <w:rPr>
                <w:rStyle w:val="27"/>
                <w:lang w:val="en-US" w:eastAsia="zh-CN" w:bidi="ar"/>
              </w:rPr>
              <w:t>移动互联应用技术</w:t>
            </w:r>
          </w:p>
        </w:tc>
        <w:tc>
          <w:tcPr>
            <w:tcW w:w="1526" w:type="dxa"/>
            <w:tcBorders>
              <w:top w:val="single" w:color="4BACC6" w:sz="8" w:space="0"/>
              <w:bottom w:val="single" w:color="4BACC6" w:sz="8" w:space="0"/>
              <w:right w:val="single" w:color="4BACC6" w:sz="8" w:space="0"/>
            </w:tcBorders>
            <w:shd w:val="clear" w:color="auto" w:fill="FFFFFF" w:themeFill="background1"/>
            <w:noWrap w:val="0"/>
            <w:vAlign w:val="top"/>
          </w:tcPr>
          <w:p>
            <w:pPr>
              <w:keepNext w:val="0"/>
              <w:keepLines w:val="0"/>
              <w:widowControl/>
              <w:suppressLineNumbers w:val="0"/>
              <w:jc w:val="center"/>
              <w:textAlignment w:val="top"/>
              <w:rPr>
                <w:rFonts w:hint="eastAsia" w:ascii="宋体" w:hAnsi="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1665" w:type="dxa"/>
            <w:tcBorders>
              <w:top w:val="single" w:color="4BACC6" w:sz="8" w:space="0"/>
              <w:bottom w:val="single" w:color="4BACC6" w:sz="8" w:space="0"/>
              <w:right w:val="single" w:color="4BACC6" w:sz="8" w:space="0"/>
            </w:tcBorders>
            <w:shd w:val="clear" w:color="auto" w:fill="FFFFFF" w:themeFill="background1"/>
            <w:noWrap w:val="0"/>
            <w:vAlign w:val="top"/>
          </w:tcPr>
          <w:p>
            <w:pPr>
              <w:keepNext w:val="0"/>
              <w:keepLines w:val="0"/>
              <w:widowControl/>
              <w:suppressLineNumbers w:val="0"/>
              <w:jc w:val="center"/>
              <w:textAlignment w:val="top"/>
              <w:rPr>
                <w:rFonts w:hint="default" w:ascii="宋体" w:hAnsi="宋体"/>
                <w:sz w:val="20"/>
                <w:szCs w:val="20"/>
                <w:highlight w:val="yellow"/>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576" w:type="dxa"/>
            <w:tcBorders>
              <w:top w:val="single" w:color="4BACC6" w:sz="8" w:space="0"/>
              <w:bottom w:val="single" w:color="4BACC6" w:sz="8" w:space="0"/>
              <w:right w:val="single" w:color="4BACC6" w:sz="8" w:space="0"/>
            </w:tcBorders>
            <w:shd w:val="clear" w:color="auto" w:fill="FFFFFF" w:themeFill="background1"/>
            <w:noWrap w:val="0"/>
            <w:vAlign w:val="top"/>
          </w:tcPr>
          <w:p>
            <w:pPr>
              <w:keepNext w:val="0"/>
              <w:keepLines w:val="0"/>
              <w:widowControl/>
              <w:suppressLineNumbers w:val="0"/>
              <w:jc w:val="center"/>
              <w:textAlignment w:val="top"/>
              <w:rPr>
                <w:rFonts w:hint="default" w:ascii="宋体" w:hAnsi="宋体"/>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100.0%</w:t>
            </w:r>
          </w:p>
        </w:tc>
      </w:tr>
    </w:tbl>
    <w:p>
      <w:pPr>
        <w:pStyle w:val="10"/>
        <w:ind w:left="0" w:leftChars="0" w:firstLine="0" w:firstLineChars="0"/>
        <w:rPr>
          <w:rFonts w:hint="eastAsia"/>
          <w:lang w:val="en-US" w:eastAsia="zh-CN"/>
        </w:rPr>
      </w:pPr>
    </w:p>
    <w:p>
      <w:pPr>
        <w:numPr>
          <w:ilvl w:val="0"/>
          <w:numId w:val="0"/>
        </w:numPr>
        <w:jc w:val="both"/>
        <w:rPr>
          <w:rFonts w:hint="eastAsia"/>
          <w:lang w:val="en-US" w:eastAsia="zh-CN"/>
        </w:rPr>
      </w:pPr>
      <w:r>
        <w:rPr>
          <w:rFonts w:hint="eastAsia"/>
          <w:sz w:val="28"/>
          <w:szCs w:val="28"/>
          <w:lang w:val="en-US" w:eastAsia="zh-CN"/>
        </w:rPr>
        <w:t>一、就业结果</w:t>
      </w:r>
    </w:p>
    <w:p>
      <w:pPr>
        <w:numPr>
          <w:ilvl w:val="0"/>
          <w:numId w:val="8"/>
        </w:numPr>
        <w:jc w:val="both"/>
        <w:rPr>
          <w:rFonts w:hint="eastAsia"/>
          <w:sz w:val="28"/>
          <w:szCs w:val="28"/>
          <w:highlight w:val="none"/>
          <w:lang w:val="en-US" w:eastAsia="zh-CN"/>
        </w:rPr>
      </w:pPr>
      <w:r>
        <w:rPr>
          <w:rFonts w:hint="eastAsia"/>
          <w:sz w:val="28"/>
          <w:szCs w:val="28"/>
          <w:highlight w:val="none"/>
          <w:lang w:val="en-US" w:eastAsia="zh-CN"/>
        </w:rPr>
        <w:t>就业满意度</w:t>
      </w:r>
    </w:p>
    <w:p>
      <w:pPr>
        <w:numPr>
          <w:ilvl w:val="0"/>
          <w:numId w:val="0"/>
        </w:numPr>
        <w:ind w:firstLine="560" w:firstLineChars="200"/>
        <w:jc w:val="both"/>
        <w:rPr>
          <w:rFonts w:hint="eastAsia"/>
          <w:sz w:val="28"/>
          <w:szCs w:val="28"/>
          <w:lang w:val="en-US" w:eastAsia="zh-CN"/>
        </w:rPr>
      </w:pPr>
      <w:r>
        <w:rPr>
          <w:rFonts w:hint="eastAsia"/>
          <w:sz w:val="28"/>
          <w:szCs w:val="28"/>
          <w:lang w:val="en-US" w:eastAsia="zh-CN"/>
        </w:rPr>
        <w:t>调研数据显示，毕业生对当前的就业状况的满意度为</w:t>
      </w:r>
      <w:r>
        <w:rPr>
          <w:rFonts w:hint="eastAsia"/>
          <w:sz w:val="28"/>
          <w:szCs w:val="28"/>
          <w:highlight w:val="none"/>
          <w:lang w:val="en-US" w:eastAsia="zh-CN"/>
        </w:rPr>
        <w:t>86.57%</w:t>
      </w:r>
      <w:r>
        <w:rPr>
          <w:rFonts w:hint="eastAsia"/>
          <w:sz w:val="28"/>
          <w:szCs w:val="28"/>
          <w:lang w:val="en-US" w:eastAsia="zh-CN"/>
        </w:rPr>
        <w:t>，其中，“非常满意”占比28.90%，“比较满意”占比32.00%，“满意”占比25.67%。</w:t>
      </w:r>
    </w:p>
    <w:p>
      <w:pPr>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2023届毕业生就业满意度</w:t>
      </w:r>
    </w:p>
    <w:p>
      <w:pPr>
        <w:numPr>
          <w:ilvl w:val="0"/>
          <w:numId w:val="0"/>
        </w:numPr>
        <w:jc w:val="both"/>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629025" cy="2232660"/>
            <wp:effectExtent l="4445" t="4445" r="5080" b="1079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注：就业满意度=非常满意+比较满意+满意</w:t>
      </w:r>
    </w:p>
    <w:p>
      <w:pPr>
        <w:pStyle w:val="6"/>
        <w:rPr>
          <w:rFonts w:hint="eastAsia"/>
          <w:lang w:val="en-US" w:eastAsia="zh-CN"/>
        </w:rPr>
      </w:pPr>
    </w:p>
    <w:p>
      <w:pPr>
        <w:numPr>
          <w:ilvl w:val="0"/>
          <w:numId w:val="8"/>
        </w:numPr>
        <w:ind w:left="0" w:leftChars="0" w:firstLine="0" w:firstLineChars="0"/>
        <w:jc w:val="both"/>
        <w:rPr>
          <w:rFonts w:hint="eastAsia"/>
          <w:sz w:val="28"/>
          <w:szCs w:val="28"/>
          <w:lang w:val="en-US" w:eastAsia="zh-CN"/>
        </w:rPr>
      </w:pPr>
      <w:r>
        <w:rPr>
          <w:rFonts w:hint="eastAsia"/>
          <w:sz w:val="28"/>
          <w:szCs w:val="28"/>
          <w:lang w:val="en-US" w:eastAsia="zh-CN"/>
        </w:rPr>
        <w:t>就业心态</w:t>
      </w:r>
    </w:p>
    <w:p>
      <w:pPr>
        <w:numPr>
          <w:ilvl w:val="0"/>
          <w:numId w:val="0"/>
        </w:numPr>
        <w:ind w:firstLine="560" w:firstLineChars="200"/>
        <w:jc w:val="both"/>
        <w:rPr>
          <w:rFonts w:hint="default" w:cs="Times New Roman"/>
          <w:sz w:val="28"/>
          <w:szCs w:val="28"/>
          <w:lang w:val="en-US" w:eastAsia="zh-CN"/>
        </w:rPr>
      </w:pPr>
      <w:r>
        <w:rPr>
          <w:rFonts w:hint="eastAsia" w:cs="Times New Roman"/>
          <w:sz w:val="28"/>
          <w:szCs w:val="28"/>
          <w:lang w:val="en-US" w:eastAsia="zh-CN"/>
        </w:rPr>
        <w:t>调研数据显示，毕业生目前就业心态乐观度为81.05%，其中 “非常乐观”</w:t>
      </w:r>
      <w:r>
        <w:rPr>
          <w:rFonts w:hint="default" w:cs="Times New Roman"/>
          <w:sz w:val="28"/>
          <w:szCs w:val="28"/>
          <w:lang w:val="en-US" w:eastAsia="zh-CN"/>
        </w:rPr>
        <w:t>占比</w:t>
      </w:r>
      <w:r>
        <w:rPr>
          <w:rFonts w:hint="eastAsia" w:cs="Times New Roman"/>
          <w:sz w:val="28"/>
          <w:szCs w:val="28"/>
          <w:lang w:val="en-US" w:eastAsia="zh-CN"/>
        </w:rPr>
        <w:t>22.63%</w:t>
      </w:r>
      <w:r>
        <w:rPr>
          <w:rFonts w:hint="default" w:cs="Times New Roman"/>
          <w:sz w:val="28"/>
          <w:szCs w:val="28"/>
          <w:lang w:val="en-US" w:eastAsia="zh-CN"/>
        </w:rPr>
        <w:t>，“ 乐观 ”占比24.</w:t>
      </w:r>
      <w:r>
        <w:rPr>
          <w:rFonts w:hint="eastAsia" w:cs="Times New Roman"/>
          <w:sz w:val="28"/>
          <w:szCs w:val="28"/>
          <w:lang w:val="en-US" w:eastAsia="zh-CN"/>
        </w:rPr>
        <w:t>53</w:t>
      </w:r>
      <w:r>
        <w:rPr>
          <w:rFonts w:hint="default" w:cs="Times New Roman"/>
          <w:sz w:val="28"/>
          <w:szCs w:val="28"/>
          <w:lang w:val="en-US" w:eastAsia="zh-CN"/>
        </w:rPr>
        <w:t>%，“比较乐观”占比3</w:t>
      </w:r>
      <w:r>
        <w:rPr>
          <w:rFonts w:hint="eastAsia" w:cs="Times New Roman"/>
          <w:sz w:val="28"/>
          <w:szCs w:val="28"/>
          <w:lang w:val="en-US" w:eastAsia="zh-CN"/>
        </w:rPr>
        <w:t>3.89</w:t>
      </w:r>
      <w:r>
        <w:rPr>
          <w:rFonts w:hint="default" w:cs="Times New Roman"/>
          <w:sz w:val="28"/>
          <w:szCs w:val="28"/>
          <w:lang w:val="en-US" w:eastAsia="zh-CN"/>
        </w:rPr>
        <w:t>%。</w:t>
      </w:r>
    </w:p>
    <w:p>
      <w:pPr>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2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2023届毕业生就业乐观度</w:t>
      </w:r>
    </w:p>
    <w:p>
      <w:pPr>
        <w:numPr>
          <w:ilvl w:val="0"/>
          <w:numId w:val="0"/>
        </w:numPr>
        <w:jc w:val="both"/>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707765" cy="1963420"/>
            <wp:effectExtent l="4445" t="4445" r="21590" b="1333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注：就业乐观度=非常乐观+乐观+比较乐观</w:t>
      </w:r>
    </w:p>
    <w:p>
      <w:pPr>
        <w:rPr>
          <w:rFonts w:hint="eastAsia"/>
          <w:lang w:val="en-US" w:eastAsia="zh-CN"/>
        </w:rPr>
      </w:pPr>
    </w:p>
    <w:p>
      <w:pPr>
        <w:numPr>
          <w:ilvl w:val="0"/>
          <w:numId w:val="8"/>
        </w:numPr>
        <w:ind w:left="0" w:leftChars="0" w:firstLine="0" w:firstLineChars="0"/>
        <w:jc w:val="both"/>
        <w:rPr>
          <w:rFonts w:hint="eastAsia"/>
          <w:sz w:val="28"/>
          <w:szCs w:val="28"/>
          <w:lang w:val="en-US" w:eastAsia="zh-CN"/>
        </w:rPr>
      </w:pPr>
      <w:r>
        <w:rPr>
          <w:rFonts w:hint="eastAsia"/>
          <w:sz w:val="28"/>
          <w:szCs w:val="28"/>
          <w:lang w:val="en-US" w:eastAsia="zh-CN"/>
        </w:rPr>
        <w:t>薪资分布</w:t>
      </w:r>
    </w:p>
    <w:p>
      <w:pPr>
        <w:numPr>
          <w:ilvl w:val="0"/>
          <w:numId w:val="9"/>
        </w:numPr>
        <w:ind w:leftChars="0"/>
        <w:jc w:val="both"/>
        <w:rPr>
          <w:rFonts w:hint="eastAsia"/>
          <w:sz w:val="28"/>
          <w:szCs w:val="28"/>
          <w:lang w:val="en-US" w:eastAsia="zh-CN"/>
        </w:rPr>
      </w:pPr>
      <w:r>
        <w:rPr>
          <w:rFonts w:hint="eastAsia"/>
          <w:sz w:val="28"/>
          <w:szCs w:val="28"/>
          <w:lang w:val="en-US" w:eastAsia="zh-CN"/>
        </w:rPr>
        <w:t>总体月薪分布范围</w:t>
      </w:r>
    </w:p>
    <w:p>
      <w:pPr>
        <w:numPr>
          <w:ilvl w:val="0"/>
          <w:numId w:val="0"/>
        </w:numPr>
        <w:ind w:firstLine="560" w:firstLineChars="200"/>
        <w:jc w:val="both"/>
        <w:rPr>
          <w:rFonts w:hint="eastAsia" w:asciiTheme="minorEastAsia" w:hAnsiTheme="minorEastAsia" w:eastAsiaTheme="minorEastAsia"/>
          <w:sz w:val="20"/>
          <w:szCs w:val="20"/>
          <w:lang w:val="ru-RU"/>
        </w:rPr>
      </w:pPr>
      <w:r>
        <w:rPr>
          <w:rFonts w:hint="eastAsia"/>
          <w:sz w:val="28"/>
          <w:szCs w:val="28"/>
          <w:lang w:val="en-US" w:eastAsia="zh-CN"/>
        </w:rPr>
        <w:t>调研数据显示，用人单位为</w:t>
      </w:r>
      <w:r>
        <w:rPr>
          <w:rFonts w:hint="eastAsia"/>
          <w:sz w:val="28"/>
          <w:szCs w:val="28"/>
          <w:highlight w:val="none"/>
          <w:lang w:val="en-US" w:eastAsia="zh-CN"/>
        </w:rPr>
        <w:t>2023届</w:t>
      </w:r>
      <w:r>
        <w:rPr>
          <w:rFonts w:hint="eastAsia"/>
          <w:sz w:val="28"/>
          <w:szCs w:val="28"/>
          <w:lang w:val="en-US" w:eastAsia="zh-CN"/>
        </w:rPr>
        <w:t>毕业生提供的月薪（实发到手工资）主要集中在“3001-4000元”（29.96%）、其次为“4001-5000元”（22.53%）、“3000元以下”（20.70%）。</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3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2023届毕业生月薪分布范围</w:t>
      </w:r>
    </w:p>
    <w:p>
      <w:pPr>
        <w:numPr>
          <w:ilvl w:val="0"/>
          <w:numId w:val="0"/>
        </w:numPr>
        <w:ind w:firstLine="560"/>
        <w:jc w:val="both"/>
        <w:rPr>
          <w:rFonts w:hint="default"/>
          <w:sz w:val="28"/>
          <w:szCs w:val="28"/>
          <w:lang w:val="en-US" w:eastAsia="zh-CN"/>
        </w:rPr>
      </w:pPr>
      <w:r>
        <w:rPr>
          <w:rFonts w:hint="default"/>
          <w:sz w:val="28"/>
          <w:szCs w:val="28"/>
          <w:lang w:val="en-US" w:eastAsia="zh-CN"/>
        </w:rPr>
        <w:drawing>
          <wp:inline distT="0" distB="0" distL="114300" distR="114300">
            <wp:extent cx="4754245" cy="2643505"/>
            <wp:effectExtent l="4445" t="4445" r="22860" b="1905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0"/>
        <w:rPr>
          <w:rFonts w:hint="default"/>
          <w:lang w:val="en-US" w:eastAsia="zh-CN"/>
        </w:rPr>
      </w:pPr>
    </w:p>
    <w:p>
      <w:pPr>
        <w:numPr>
          <w:ilvl w:val="0"/>
          <w:numId w:val="9"/>
        </w:numPr>
        <w:ind w:left="0" w:leftChars="0" w:firstLine="0" w:firstLineChars="0"/>
        <w:jc w:val="both"/>
        <w:rPr>
          <w:rFonts w:hint="eastAsia"/>
          <w:sz w:val="28"/>
          <w:szCs w:val="28"/>
          <w:lang w:val="en-US" w:eastAsia="zh-CN"/>
        </w:rPr>
      </w:pPr>
      <w:r>
        <w:rPr>
          <w:rFonts w:hint="eastAsia"/>
          <w:sz w:val="28"/>
          <w:szCs w:val="28"/>
          <w:lang w:val="en-US" w:eastAsia="zh-CN"/>
        </w:rPr>
        <w:t>毕业生薪资满意度</w:t>
      </w:r>
    </w:p>
    <w:p>
      <w:pPr>
        <w:numPr>
          <w:ilvl w:val="0"/>
          <w:numId w:val="0"/>
        </w:numPr>
        <w:ind w:leftChars="0"/>
        <w:jc w:val="both"/>
        <w:rPr>
          <w:rFonts w:hint="eastAsia"/>
          <w:sz w:val="28"/>
          <w:szCs w:val="28"/>
          <w:highlight w:val="red"/>
          <w:lang w:val="en-US" w:eastAsia="zh-CN"/>
        </w:rPr>
      </w:pPr>
      <w:r>
        <w:rPr>
          <w:rFonts w:hint="eastAsia"/>
          <w:sz w:val="28"/>
          <w:szCs w:val="28"/>
          <w:lang w:val="en-US" w:eastAsia="zh-CN"/>
        </w:rPr>
        <w:t xml:space="preserve">    调研数据显示，毕业生对目前的薪资水平满意度为49.78%。其中，“非常满意”占比3.84%，“比较满意”占比19.04%，“满意”占比26.90%。</w:t>
      </w:r>
    </w:p>
    <w:p>
      <w:pPr>
        <w:jc w:val="center"/>
        <w:rPr>
          <w:rFonts w:hint="default" w:asciiTheme="minorEastAsia" w:hAnsiTheme="minorEastAsia" w:eastAsiaTheme="minorEastAsia"/>
          <w:sz w:val="20"/>
          <w:szCs w:val="20"/>
          <w:lang w:val="en-US" w:eastAsia="zh-CN"/>
        </w:rPr>
      </w:pPr>
      <w:r>
        <w:rPr>
          <w:rFonts w:hint="eastAsia"/>
          <w:sz w:val="28"/>
          <w:szCs w:val="28"/>
          <w:lang w:val="en-US" w:eastAsia="zh-CN"/>
        </w:rPr>
        <w:t xml:space="preserve">   </w:t>
      </w: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4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2023届毕业生薪资水平满意度</w:t>
      </w:r>
    </w:p>
    <w:p>
      <w:pPr>
        <w:numPr>
          <w:ilvl w:val="0"/>
          <w:numId w:val="0"/>
        </w:numPr>
        <w:ind w:leftChars="0"/>
        <w:jc w:val="both"/>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3845560" cy="1652905"/>
            <wp:effectExtent l="4445" t="4445" r="17145" b="1905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注：薪资水平满意度=非常满意+比较满意+满意</w:t>
      </w:r>
    </w:p>
    <w:p>
      <w:pPr>
        <w:jc w:val="left"/>
        <w:rPr>
          <w:rFonts w:hint="default" w:asciiTheme="minorEastAsia" w:hAnsiTheme="minorEastAsia" w:eastAsiaTheme="minorEastAsia"/>
          <w:sz w:val="20"/>
          <w:szCs w:val="20"/>
          <w:lang w:val="en-US" w:eastAsia="zh-CN"/>
        </w:rPr>
      </w:pPr>
    </w:p>
    <w:p>
      <w:pPr>
        <w:numPr>
          <w:ilvl w:val="0"/>
          <w:numId w:val="8"/>
        </w:numPr>
        <w:ind w:left="0" w:leftChars="0" w:firstLine="0" w:firstLineChars="0"/>
        <w:jc w:val="both"/>
        <w:rPr>
          <w:rFonts w:hint="eastAsia"/>
          <w:sz w:val="28"/>
          <w:szCs w:val="28"/>
          <w:lang w:val="en-US" w:eastAsia="zh-CN"/>
        </w:rPr>
      </w:pPr>
      <w:r>
        <w:rPr>
          <w:rFonts w:hint="eastAsia"/>
          <w:sz w:val="28"/>
          <w:szCs w:val="28"/>
          <w:lang w:val="en-US" w:eastAsia="zh-CN"/>
        </w:rPr>
        <w:t>福利保障</w:t>
      </w:r>
    </w:p>
    <w:p>
      <w:pPr>
        <w:numPr>
          <w:ilvl w:val="0"/>
          <w:numId w:val="0"/>
        </w:numPr>
        <w:ind w:leftChars="0"/>
        <w:jc w:val="both"/>
        <w:rPr>
          <w:rFonts w:hint="default"/>
          <w:sz w:val="28"/>
          <w:szCs w:val="28"/>
          <w:lang w:val="en-US" w:eastAsia="zh-CN"/>
        </w:rPr>
      </w:pPr>
      <w:r>
        <w:rPr>
          <w:rFonts w:hint="eastAsia"/>
          <w:sz w:val="28"/>
          <w:szCs w:val="28"/>
          <w:lang w:val="en-US" w:eastAsia="zh-CN"/>
        </w:rPr>
        <w:t xml:space="preserve">    调研数据显示，用人单位给毕业生提供社会保障和福利的总体保障度为73.62%，其中“除提供五险一金外，还提供其他保障和补贴（如企业年金、商业保险）”占比12.58%，“提供五险一金”占比35.63%，“仅五险”占比25.41%。</w:t>
      </w:r>
    </w:p>
    <w:p>
      <w:pPr>
        <w:ind w:firstLine="400" w:firstLineChars="200"/>
        <w:jc w:val="center"/>
        <w:rPr>
          <w:rFonts w:hint="default"/>
          <w:sz w:val="28"/>
          <w:szCs w:val="28"/>
          <w:lang w:val="en-US"/>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5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2023届毕业生福利保障情况</w:t>
      </w:r>
    </w:p>
    <w:p>
      <w:pPr>
        <w:ind w:firstLine="560" w:firstLineChars="200"/>
        <w:jc w:val="left"/>
        <w:rPr>
          <w:rFonts w:hint="eastAsia" w:eastAsia="宋体"/>
          <w:sz w:val="28"/>
          <w:szCs w:val="28"/>
          <w:lang w:val="ru-RU" w:eastAsia="zh-CN"/>
        </w:rPr>
      </w:pPr>
      <w:r>
        <w:rPr>
          <w:rFonts w:hint="eastAsia"/>
          <w:sz w:val="28"/>
          <w:szCs w:val="28"/>
          <w:lang w:val="en-US" w:eastAsia="zh-CN"/>
        </w:rPr>
        <w:t xml:space="preserve">      </w:t>
      </w:r>
      <w:r>
        <w:rPr>
          <w:rFonts w:hint="eastAsia" w:eastAsia="宋体"/>
          <w:sz w:val="28"/>
          <w:szCs w:val="28"/>
          <w:lang w:val="ru-RU" w:eastAsia="zh-CN"/>
        </w:rPr>
        <w:drawing>
          <wp:inline distT="0" distB="0" distL="114300" distR="114300">
            <wp:extent cx="3977640" cy="2804160"/>
            <wp:effectExtent l="4445" t="4445" r="18415" b="10795"/>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注：福利总体保障度=五险一金+仅五险+提供五险一金外，还提供其他保障和补贴</w:t>
      </w:r>
    </w:p>
    <w:p>
      <w:pPr>
        <w:jc w:val="left"/>
        <w:rPr>
          <w:rFonts w:hint="default" w:asciiTheme="minorEastAsia" w:hAnsiTheme="minorEastAsia" w:eastAsiaTheme="minorEastAsia"/>
          <w:sz w:val="20"/>
          <w:szCs w:val="20"/>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二、就业适配</w:t>
      </w:r>
    </w:p>
    <w:p>
      <w:pPr>
        <w:numPr>
          <w:ilvl w:val="0"/>
          <w:numId w:val="10"/>
        </w:numPr>
        <w:ind w:leftChars="0"/>
        <w:jc w:val="left"/>
        <w:rPr>
          <w:rFonts w:hint="eastAsia"/>
          <w:sz w:val="28"/>
          <w:szCs w:val="28"/>
          <w:lang w:val="en-US" w:eastAsia="zh-CN"/>
        </w:rPr>
      </w:pPr>
      <w:r>
        <w:rPr>
          <w:rFonts w:hint="eastAsia"/>
          <w:sz w:val="28"/>
          <w:szCs w:val="28"/>
          <w:lang w:val="en-US" w:eastAsia="zh-CN"/>
        </w:rPr>
        <w:t>总体专业相关度</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调研数据显示，毕业生目前从事的工作与所学专业的总相关度为54.06%。其中，“非常相关”占比11.44%，“比较相关”占比19.39%，“相关”占比23.23%。</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6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2023届毕业生就业与专业相关度</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drawing>
          <wp:inline distT="0" distB="0" distL="114300" distR="114300">
            <wp:extent cx="4031615" cy="2199005"/>
            <wp:effectExtent l="4445" t="4445" r="21590" b="6350"/>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jc w:val="left"/>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注：总体专业相关度=非常相关+比较相关+相关</w:t>
      </w:r>
    </w:p>
    <w:p>
      <w:pPr>
        <w:jc w:val="left"/>
        <w:rPr>
          <w:rFonts w:hint="default" w:asciiTheme="minorEastAsia" w:hAnsiTheme="minorEastAsia" w:eastAsiaTheme="minorEastAsia"/>
          <w:sz w:val="20"/>
          <w:szCs w:val="20"/>
          <w:lang w:val="en-US" w:eastAsia="zh-CN"/>
        </w:rPr>
      </w:pPr>
    </w:p>
    <w:p>
      <w:pPr>
        <w:numPr>
          <w:ilvl w:val="0"/>
          <w:numId w:val="10"/>
        </w:numPr>
        <w:ind w:leftChars="0"/>
        <w:jc w:val="left"/>
        <w:rPr>
          <w:rFonts w:hint="eastAsia"/>
          <w:sz w:val="28"/>
          <w:szCs w:val="28"/>
          <w:lang w:val="en-US" w:eastAsia="zh-CN"/>
        </w:rPr>
      </w:pPr>
      <w:r>
        <w:rPr>
          <w:rFonts w:hint="eastAsia"/>
          <w:sz w:val="28"/>
          <w:szCs w:val="28"/>
          <w:lang w:val="en-US" w:eastAsia="zh-CN"/>
        </w:rPr>
        <w:t>从事不相关专业的原因</w:t>
      </w:r>
    </w:p>
    <w:p>
      <w:pPr>
        <w:ind w:firstLine="560" w:firstLineChars="200"/>
        <w:jc w:val="left"/>
        <w:rPr>
          <w:rFonts w:hint="default" w:eastAsia="宋体"/>
          <w:sz w:val="28"/>
          <w:szCs w:val="28"/>
          <w:lang w:val="en-US" w:eastAsia="zh-CN"/>
        </w:rPr>
      </w:pPr>
      <w:r>
        <w:rPr>
          <w:rFonts w:hint="eastAsia"/>
          <w:sz w:val="28"/>
          <w:szCs w:val="28"/>
          <w:lang w:val="en-US" w:eastAsia="zh-CN"/>
        </w:rPr>
        <w:t>调研数据显示，毕业生从事与本专业不相关的工作主要原因为“迫于现实先就业再择业”（29.85%），其次为“专业工作岗位招聘少”（15.78%）、“专业工作收入水平较低”（11.98%）。</w:t>
      </w:r>
    </w:p>
    <w:p>
      <w:pPr>
        <w:ind w:firstLine="400" w:firstLineChars="200"/>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图</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3</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 xml:space="preserve">7  </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2023届毕业生从事不相关专业的原因</w:t>
      </w:r>
    </w:p>
    <w:p>
      <w:pPr>
        <w:pStyle w:val="6"/>
        <w:rPr>
          <w:rFonts w:hint="default"/>
          <w:lang w:val="en-US" w:eastAsia="zh-CN"/>
        </w:rPr>
      </w:pPr>
      <w:r>
        <w:rPr>
          <w:rFonts w:hint="eastAsia" w:eastAsia="宋体"/>
          <w:sz w:val="28"/>
          <w:szCs w:val="28"/>
          <w:lang w:val="ru-RU" w:eastAsia="zh-CN"/>
        </w:rPr>
        <w:drawing>
          <wp:inline distT="0" distB="0" distL="114300" distR="114300">
            <wp:extent cx="4897120" cy="2191385"/>
            <wp:effectExtent l="4445" t="4445" r="13335" b="1397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10"/>
        <w:ind w:left="0" w:leftChars="0" w:firstLine="0" w:firstLineChars="0"/>
        <w:rPr>
          <w:rFonts w:hint="eastAsia"/>
          <w:lang w:val="ru-RU" w:eastAsia="zh-CN"/>
        </w:rPr>
      </w:pPr>
    </w:p>
    <w:p>
      <w:pPr>
        <w:numPr>
          <w:ilvl w:val="0"/>
          <w:numId w:val="10"/>
        </w:numPr>
        <w:ind w:left="0" w:leftChars="0" w:firstLine="0" w:firstLineChars="0"/>
        <w:jc w:val="left"/>
        <w:rPr>
          <w:rFonts w:hint="eastAsia"/>
          <w:sz w:val="28"/>
          <w:szCs w:val="28"/>
          <w:lang w:val="en-US" w:eastAsia="zh-CN"/>
        </w:rPr>
      </w:pPr>
      <w:r>
        <w:rPr>
          <w:rFonts w:hint="eastAsia"/>
          <w:sz w:val="28"/>
          <w:szCs w:val="28"/>
          <w:lang w:val="en-US" w:eastAsia="zh-CN"/>
        </w:rPr>
        <w:t>职业期待吻合度</w:t>
      </w:r>
    </w:p>
    <w:p>
      <w:pPr>
        <w:numPr>
          <w:ilvl w:val="0"/>
          <w:numId w:val="0"/>
        </w:numPr>
        <w:ind w:leftChars="0"/>
        <w:jc w:val="left"/>
        <w:rPr>
          <w:rFonts w:hint="eastAsia" w:asciiTheme="minorEastAsia" w:hAnsiTheme="minorEastAsia" w:eastAsiaTheme="minorEastAsia"/>
          <w:sz w:val="20"/>
          <w:szCs w:val="20"/>
          <w:lang w:val="en-US" w:eastAsia="zh-CN"/>
        </w:rPr>
      </w:pPr>
      <w:r>
        <w:rPr>
          <w:rFonts w:hint="eastAsia"/>
          <w:sz w:val="28"/>
          <w:szCs w:val="28"/>
          <w:lang w:val="en-US" w:eastAsia="zh-CN"/>
        </w:rPr>
        <w:t xml:space="preserve">    调研数据显示，毕业生从事工作与其职业期望的总匹配程度为62.27%。其中“非常匹配”占比6.11%，“比较匹配”占比25.24%，“匹配”占比30.92%，“不太匹配”占比29.17%。</w:t>
      </w:r>
    </w:p>
    <w:p>
      <w:pPr>
        <w:ind w:firstLine="400" w:firstLineChars="200"/>
        <w:jc w:val="center"/>
        <w:rPr>
          <w:rFonts w:hint="eastAsia" w:eastAsia="宋体"/>
          <w:sz w:val="28"/>
          <w:szCs w:val="28"/>
          <w:lang w:val="ru-RU"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8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2023届毕业生职业期待匹配</w:t>
      </w:r>
      <w:r>
        <w:rPr>
          <w:rFonts w:hint="eastAsia" w:eastAsia="宋体"/>
          <w:sz w:val="28"/>
          <w:szCs w:val="28"/>
          <w:lang w:val="ru-RU" w:eastAsia="zh-CN"/>
        </w:rPr>
        <w:drawing>
          <wp:inline distT="0" distB="0" distL="114300" distR="114300">
            <wp:extent cx="5368290" cy="2635250"/>
            <wp:effectExtent l="4445" t="4445" r="18415" b="8255"/>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注：职业期待匹配度=非常匹配+比较匹配+匹配</w:t>
      </w:r>
    </w:p>
    <w:p>
      <w:pPr>
        <w:pStyle w:val="6"/>
        <w:rPr>
          <w:rFonts w:hint="eastAsia"/>
          <w:lang w:val="ru-RU"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三、就业发展</w:t>
      </w:r>
    </w:p>
    <w:p>
      <w:pPr>
        <w:numPr>
          <w:ilvl w:val="0"/>
          <w:numId w:val="0"/>
        </w:numPr>
        <w:jc w:val="left"/>
        <w:rPr>
          <w:rFonts w:hint="eastAsia"/>
          <w:sz w:val="28"/>
          <w:szCs w:val="28"/>
          <w:lang w:val="en-US" w:eastAsia="zh-CN"/>
        </w:rPr>
      </w:pPr>
      <w:r>
        <w:rPr>
          <w:rFonts w:hint="eastAsia"/>
          <w:sz w:val="28"/>
          <w:szCs w:val="28"/>
          <w:lang w:val="en-US" w:eastAsia="zh-CN"/>
        </w:rPr>
        <w:t>（一）对</w:t>
      </w:r>
      <w:r>
        <w:rPr>
          <w:rFonts w:hint="default"/>
          <w:sz w:val="28"/>
          <w:szCs w:val="28"/>
          <w:lang w:val="en-US" w:eastAsia="zh-CN"/>
        </w:rPr>
        <w:t>用人单位综合满意度</w:t>
      </w:r>
    </w:p>
    <w:p>
      <w:pPr>
        <w:numPr>
          <w:ilvl w:val="0"/>
          <w:numId w:val="0"/>
        </w:numPr>
        <w:ind w:firstLine="560" w:firstLineChars="200"/>
        <w:jc w:val="left"/>
        <w:rPr>
          <w:rFonts w:hint="eastAsia"/>
          <w:sz w:val="28"/>
          <w:szCs w:val="28"/>
          <w:lang w:val="en-US" w:eastAsia="zh-CN"/>
        </w:rPr>
      </w:pPr>
      <w:r>
        <w:rPr>
          <w:rFonts w:hint="eastAsia"/>
          <w:sz w:val="28"/>
          <w:szCs w:val="28"/>
          <w:lang w:val="en-US" w:eastAsia="zh-CN"/>
        </w:rPr>
        <w:t>调研数据显示，</w:t>
      </w:r>
      <w:r>
        <w:rPr>
          <w:rFonts w:hint="default"/>
          <w:sz w:val="28"/>
          <w:szCs w:val="28"/>
          <w:lang w:val="en-US" w:eastAsia="zh-CN"/>
        </w:rPr>
        <w:t>毕业生对用人单位综合满意度为</w:t>
      </w:r>
      <w:r>
        <w:rPr>
          <w:rFonts w:hint="eastAsia"/>
          <w:sz w:val="28"/>
          <w:szCs w:val="28"/>
          <w:lang w:val="en-US" w:eastAsia="zh-CN"/>
        </w:rPr>
        <w:t>76.42</w:t>
      </w:r>
      <w:r>
        <w:rPr>
          <w:rFonts w:hint="default"/>
          <w:sz w:val="28"/>
          <w:szCs w:val="28"/>
          <w:lang w:val="en-US" w:eastAsia="zh-CN"/>
        </w:rPr>
        <w:t>%，其中</w:t>
      </w:r>
      <w:r>
        <w:rPr>
          <w:rFonts w:hint="eastAsia"/>
          <w:sz w:val="28"/>
          <w:szCs w:val="28"/>
          <w:lang w:val="en-US" w:eastAsia="zh-CN"/>
        </w:rPr>
        <w:t>“</w:t>
      </w:r>
      <w:r>
        <w:rPr>
          <w:rFonts w:hint="default"/>
          <w:sz w:val="28"/>
          <w:szCs w:val="28"/>
          <w:lang w:val="en-US" w:eastAsia="zh-CN"/>
        </w:rPr>
        <w:t>非常满意</w:t>
      </w:r>
      <w:r>
        <w:rPr>
          <w:rFonts w:hint="eastAsia"/>
          <w:sz w:val="28"/>
          <w:szCs w:val="28"/>
          <w:lang w:val="en-US" w:eastAsia="zh-CN"/>
        </w:rPr>
        <w:t>”</w:t>
      </w:r>
      <w:r>
        <w:rPr>
          <w:rFonts w:hint="default"/>
          <w:sz w:val="28"/>
          <w:szCs w:val="28"/>
          <w:lang w:val="en-US" w:eastAsia="zh-CN"/>
        </w:rPr>
        <w:t>占比9</w:t>
      </w:r>
      <w:r>
        <w:rPr>
          <w:rFonts w:hint="eastAsia"/>
          <w:sz w:val="28"/>
          <w:szCs w:val="28"/>
          <w:lang w:val="en-US" w:eastAsia="zh-CN"/>
        </w:rPr>
        <w:t>.08</w:t>
      </w:r>
      <w:r>
        <w:rPr>
          <w:rFonts w:hint="default"/>
          <w:sz w:val="28"/>
          <w:szCs w:val="28"/>
          <w:lang w:val="en-US" w:eastAsia="zh-CN"/>
        </w:rPr>
        <w:t>%，</w:t>
      </w:r>
      <w:r>
        <w:rPr>
          <w:rFonts w:hint="eastAsia"/>
          <w:sz w:val="28"/>
          <w:szCs w:val="28"/>
          <w:lang w:val="en-US" w:eastAsia="zh-CN"/>
        </w:rPr>
        <w:t>“</w:t>
      </w:r>
      <w:r>
        <w:rPr>
          <w:rFonts w:hint="default"/>
          <w:sz w:val="28"/>
          <w:szCs w:val="28"/>
          <w:lang w:val="en-US" w:eastAsia="zh-CN"/>
        </w:rPr>
        <w:t>满意</w:t>
      </w:r>
      <w:r>
        <w:rPr>
          <w:rFonts w:hint="eastAsia"/>
          <w:sz w:val="28"/>
          <w:szCs w:val="28"/>
          <w:lang w:val="en-US" w:eastAsia="zh-CN"/>
        </w:rPr>
        <w:t>”</w:t>
      </w:r>
      <w:r>
        <w:rPr>
          <w:rFonts w:hint="default"/>
          <w:sz w:val="28"/>
          <w:szCs w:val="28"/>
          <w:lang w:val="en-US" w:eastAsia="zh-CN"/>
        </w:rPr>
        <w:t>占比</w:t>
      </w:r>
      <w:r>
        <w:rPr>
          <w:rFonts w:hint="eastAsia"/>
          <w:sz w:val="28"/>
          <w:szCs w:val="28"/>
          <w:lang w:val="en-US" w:eastAsia="zh-CN"/>
        </w:rPr>
        <w:t>44.63</w:t>
      </w:r>
      <w:r>
        <w:rPr>
          <w:rFonts w:hint="default"/>
          <w:sz w:val="28"/>
          <w:szCs w:val="28"/>
          <w:lang w:val="en-US" w:eastAsia="zh-CN"/>
        </w:rPr>
        <w:t>%，</w:t>
      </w:r>
      <w:r>
        <w:rPr>
          <w:rFonts w:hint="eastAsia"/>
          <w:sz w:val="28"/>
          <w:szCs w:val="28"/>
          <w:lang w:val="en-US" w:eastAsia="zh-CN"/>
        </w:rPr>
        <w:t>“</w:t>
      </w:r>
      <w:r>
        <w:rPr>
          <w:rFonts w:hint="default"/>
          <w:sz w:val="28"/>
          <w:szCs w:val="28"/>
          <w:lang w:val="en-US" w:eastAsia="zh-CN"/>
        </w:rPr>
        <w:t>比较满意</w:t>
      </w:r>
      <w:r>
        <w:rPr>
          <w:rFonts w:hint="eastAsia"/>
          <w:sz w:val="28"/>
          <w:szCs w:val="28"/>
          <w:lang w:val="en-US" w:eastAsia="zh-CN"/>
        </w:rPr>
        <w:t>”</w:t>
      </w:r>
      <w:r>
        <w:rPr>
          <w:rFonts w:hint="default"/>
          <w:sz w:val="28"/>
          <w:szCs w:val="28"/>
          <w:lang w:val="en-US" w:eastAsia="zh-CN"/>
        </w:rPr>
        <w:t>占比</w:t>
      </w:r>
      <w:r>
        <w:rPr>
          <w:rFonts w:hint="eastAsia"/>
          <w:sz w:val="28"/>
          <w:szCs w:val="28"/>
          <w:lang w:val="en-US" w:eastAsia="zh-CN"/>
        </w:rPr>
        <w:t>22.71</w:t>
      </w:r>
      <w:r>
        <w:rPr>
          <w:rFonts w:hint="default"/>
          <w:sz w:val="28"/>
          <w:szCs w:val="28"/>
          <w:lang w:val="en-US" w:eastAsia="zh-CN"/>
        </w:rPr>
        <w:t>%。</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9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2023届毕业生对</w:t>
      </w:r>
      <w:r>
        <w:rPr>
          <w:rFonts w:hint="default" w:asciiTheme="minorEastAsia" w:hAnsiTheme="minorEastAsia" w:eastAsiaTheme="minorEastAsia"/>
          <w:sz w:val="20"/>
          <w:szCs w:val="20"/>
          <w:lang w:val="en-US" w:eastAsia="zh-CN"/>
        </w:rPr>
        <w:t>用人单位综合满意度</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drawing>
          <wp:inline distT="0" distB="0" distL="114300" distR="114300">
            <wp:extent cx="4196080" cy="2136775"/>
            <wp:effectExtent l="4445" t="4445" r="9525" b="11430"/>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注：用人单位综合满意度=非常满意+比较满意+满意</w:t>
      </w:r>
    </w:p>
    <w:p>
      <w:pPr>
        <w:pStyle w:val="6"/>
        <w:rPr>
          <w:rFonts w:hint="eastAsia"/>
          <w:lang w:val="en-US" w:eastAsia="zh-CN"/>
        </w:rPr>
      </w:pPr>
    </w:p>
    <w:p>
      <w:pPr>
        <w:numPr>
          <w:ilvl w:val="0"/>
          <w:numId w:val="0"/>
        </w:numPr>
        <w:jc w:val="left"/>
        <w:rPr>
          <w:rFonts w:hint="default"/>
          <w:sz w:val="28"/>
          <w:szCs w:val="28"/>
          <w:lang w:val="en-US" w:eastAsia="zh-CN"/>
        </w:rPr>
      </w:pPr>
      <w:r>
        <w:rPr>
          <w:rFonts w:hint="eastAsia"/>
          <w:sz w:val="28"/>
          <w:szCs w:val="28"/>
          <w:lang w:val="en-US" w:eastAsia="zh-CN"/>
        </w:rPr>
        <w:t>（二）离职情况</w:t>
      </w: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1.离职次数</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调研数据显示，毕业生从第一次入职至今平均离职次数为1.11次。45.50%的毕业生离职“0次”，28.82%的毕业生离职“1次”。</w:t>
      </w:r>
    </w:p>
    <w:p>
      <w:pPr>
        <w:numPr>
          <w:ilvl w:val="0"/>
          <w:numId w:val="0"/>
        </w:numPr>
        <w:ind w:leftChars="0" w:firstLine="560"/>
        <w:jc w:val="center"/>
        <w:rPr>
          <w:rFonts w:hint="eastAsia"/>
          <w:sz w:val="28"/>
          <w:szCs w:val="28"/>
          <w:lang w:val="en-US" w:eastAsia="zh-CN"/>
        </w:rPr>
      </w:pPr>
      <w:r>
        <w:rPr>
          <w:rFonts w:hint="eastAsia"/>
          <w:sz w:val="28"/>
          <w:szCs w:val="28"/>
          <w:lang w:val="en-US" w:eastAsia="zh-CN"/>
        </w:rPr>
        <w:drawing>
          <wp:inline distT="0" distB="0" distL="114300" distR="114300">
            <wp:extent cx="3852545" cy="2269490"/>
            <wp:effectExtent l="4445" t="4445" r="10160" b="12065"/>
            <wp:docPr id="40" name="图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10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2023届毕业生离职次数</w:t>
      </w:r>
    </w:p>
    <w:p>
      <w:pPr>
        <w:pStyle w:val="6"/>
        <w:rPr>
          <w:rFonts w:hint="eastAsia"/>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2.离职原因</w:t>
      </w:r>
    </w:p>
    <w:p>
      <w:pPr>
        <w:ind w:firstLine="560" w:firstLineChars="200"/>
        <w:rPr>
          <w:rFonts w:hint="eastAsia"/>
          <w:sz w:val="28"/>
          <w:szCs w:val="28"/>
          <w:lang w:val="en-US" w:eastAsia="zh-CN"/>
        </w:rPr>
      </w:pPr>
      <w:r>
        <w:rPr>
          <w:rFonts w:hint="eastAsia"/>
          <w:sz w:val="28"/>
          <w:szCs w:val="28"/>
          <w:lang w:val="en-US" w:eastAsia="zh-CN"/>
        </w:rPr>
        <w:t>调研数据显示，毕业生离职的主要原因为“薪资福利差”（43.43%），其次为“发展空间不大”（36.22%）和“工作压力大”（26.92%）。</w:t>
      </w:r>
    </w:p>
    <w:p>
      <w:pPr>
        <w:ind w:firstLine="400" w:firstLineChars="200"/>
        <w:jc w:val="center"/>
        <w:rPr>
          <w:rFonts w:hint="eastAsia" w:eastAsia="宋体"/>
          <w:sz w:val="28"/>
          <w:szCs w:val="28"/>
          <w:lang w:val="ru-RU"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11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2023届毕业生离职原因</w:t>
      </w:r>
      <w:r>
        <w:rPr>
          <w:rFonts w:hint="eastAsia"/>
          <w:sz w:val="28"/>
          <w:szCs w:val="28"/>
          <w:lang w:val="en-US" w:eastAsia="zh-CN"/>
        </w:rPr>
        <w:t xml:space="preserve">  </w:t>
      </w:r>
      <w:r>
        <w:rPr>
          <w:rFonts w:hint="eastAsia" w:eastAsia="宋体"/>
          <w:sz w:val="28"/>
          <w:szCs w:val="28"/>
          <w:lang w:val="ru-RU" w:eastAsia="zh-CN"/>
        </w:rPr>
        <w:drawing>
          <wp:inline distT="0" distB="0" distL="114300" distR="114300">
            <wp:extent cx="5778500" cy="2920365"/>
            <wp:effectExtent l="4445" t="4445" r="8255" b="889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6"/>
        <w:rPr>
          <w:rFonts w:hint="eastAsia"/>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（三）工作稳定性</w:t>
      </w:r>
    </w:p>
    <w:p>
      <w:pPr>
        <w:numPr>
          <w:ilvl w:val="0"/>
          <w:numId w:val="0"/>
        </w:numPr>
        <w:ind w:firstLine="560" w:firstLineChars="200"/>
        <w:jc w:val="left"/>
        <w:rPr>
          <w:rFonts w:hint="eastAsia" w:asciiTheme="minorEastAsia" w:hAnsiTheme="minorEastAsia" w:eastAsiaTheme="minorEastAsia"/>
          <w:sz w:val="20"/>
          <w:szCs w:val="20"/>
          <w:lang w:val="en-US" w:eastAsia="zh-CN"/>
        </w:rPr>
      </w:pPr>
      <w:r>
        <w:rPr>
          <w:rFonts w:hint="eastAsia"/>
          <w:sz w:val="28"/>
          <w:szCs w:val="28"/>
          <w:lang w:val="en-US" w:eastAsia="zh-CN"/>
        </w:rPr>
        <w:t>调研数据显示，有75.46%的毕业生表示目前工作稳定。其中，“非常稳定”占比9.00%，“比较稳定”占比30.04%，“稳定”占比36.42%。此外，“不太稳定”占比19.91%，“不稳定”占比4.63%。</w:t>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12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2023届毕业生工作稳定性</w:t>
      </w:r>
    </w:p>
    <w:p>
      <w:pPr>
        <w:numPr>
          <w:ilvl w:val="0"/>
          <w:numId w:val="0"/>
        </w:numPr>
        <w:jc w:val="left"/>
        <w:rPr>
          <w:rFonts w:hint="default"/>
          <w:sz w:val="28"/>
          <w:szCs w:val="28"/>
          <w:lang w:val="en-US" w:eastAsia="zh-CN"/>
        </w:rPr>
      </w:pPr>
      <w:r>
        <w:rPr>
          <w:rFonts w:hint="default"/>
          <w:sz w:val="28"/>
          <w:szCs w:val="28"/>
          <w:lang w:val="en-US" w:eastAsia="zh-CN"/>
        </w:rPr>
        <w:drawing>
          <wp:inline distT="0" distB="0" distL="114300" distR="114300">
            <wp:extent cx="5143500" cy="2880360"/>
            <wp:effectExtent l="4445" t="4445" r="14605" b="10795"/>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注：工作稳定度=非常稳定+比较稳定+稳定</w:t>
      </w:r>
    </w:p>
    <w:p>
      <w:pPr>
        <w:jc w:val="left"/>
        <w:rPr>
          <w:rFonts w:hint="default" w:asciiTheme="minorEastAsia" w:hAnsiTheme="minorEastAsia" w:eastAsiaTheme="minorEastAsia"/>
          <w:sz w:val="20"/>
          <w:szCs w:val="20"/>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四、求职行为</w:t>
      </w:r>
    </w:p>
    <w:p>
      <w:pPr>
        <w:numPr>
          <w:ilvl w:val="0"/>
          <w:numId w:val="11"/>
        </w:numPr>
        <w:ind w:leftChars="0"/>
        <w:jc w:val="left"/>
        <w:rPr>
          <w:rFonts w:hint="eastAsia"/>
          <w:sz w:val="28"/>
          <w:szCs w:val="28"/>
          <w:lang w:val="en-US" w:eastAsia="zh-CN"/>
        </w:rPr>
      </w:pPr>
      <w:r>
        <w:rPr>
          <w:rFonts w:hint="eastAsia"/>
          <w:sz w:val="28"/>
          <w:szCs w:val="28"/>
          <w:lang w:val="en-US" w:eastAsia="zh-CN"/>
        </w:rPr>
        <w:t>求职途径</w:t>
      </w:r>
    </w:p>
    <w:p>
      <w:pPr>
        <w:numPr>
          <w:ilvl w:val="0"/>
          <w:numId w:val="0"/>
        </w:numPr>
        <w:ind w:firstLine="560" w:firstLineChars="200"/>
        <w:jc w:val="left"/>
        <w:rPr>
          <w:rFonts w:hint="default" w:eastAsia="宋体"/>
          <w:sz w:val="28"/>
          <w:szCs w:val="28"/>
          <w:lang w:val="en-US" w:eastAsia="zh-CN"/>
        </w:rPr>
      </w:pPr>
      <w:r>
        <w:rPr>
          <w:rFonts w:hint="eastAsia"/>
          <w:sz w:val="28"/>
          <w:szCs w:val="28"/>
          <w:lang w:val="en-US" w:eastAsia="zh-CN"/>
        </w:rPr>
        <w:t>调研数据显示，毕业生获得当前工作的主要途径为“各类招聘网站”（34.59%），其次为“家庭亲友推荐”（24.80%）、“用人单位内部招聘渠道”（8.73%）。</w:t>
      </w:r>
    </w:p>
    <w:p>
      <w:pPr>
        <w:ind w:firstLine="400" w:firstLineChars="200"/>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13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2023届毕业生获得当前工作途径</w:t>
      </w:r>
    </w:p>
    <w:p>
      <w:pPr>
        <w:ind w:firstLine="560" w:firstLineChars="200"/>
        <w:jc w:val="left"/>
        <w:rPr>
          <w:rFonts w:hint="eastAsia" w:eastAsia="宋体"/>
          <w:sz w:val="28"/>
          <w:szCs w:val="28"/>
          <w:lang w:val="ru-RU" w:eastAsia="zh-CN"/>
        </w:rPr>
      </w:pPr>
      <w:r>
        <w:rPr>
          <w:rFonts w:hint="eastAsia" w:eastAsia="宋体"/>
          <w:sz w:val="28"/>
          <w:szCs w:val="28"/>
          <w:lang w:val="ru-RU" w:eastAsia="zh-CN"/>
        </w:rPr>
        <w:drawing>
          <wp:inline distT="0" distB="0" distL="114300" distR="114300">
            <wp:extent cx="5196205" cy="2125980"/>
            <wp:effectExtent l="4445" t="4445" r="19050" b="22225"/>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pStyle w:val="6"/>
        <w:rPr>
          <w:rFonts w:hint="eastAsia"/>
          <w:lang w:val="ru-RU"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（二）疫情常态化对就业的影响</w:t>
      </w:r>
    </w:p>
    <w:p>
      <w:pPr>
        <w:ind w:firstLine="560" w:firstLineChars="200"/>
        <w:rPr>
          <w:rFonts w:hint="default"/>
          <w:lang w:val="en-US" w:eastAsia="zh-CN"/>
        </w:rPr>
      </w:pPr>
      <w:r>
        <w:rPr>
          <w:rFonts w:hint="eastAsia"/>
          <w:sz w:val="28"/>
          <w:szCs w:val="28"/>
          <w:lang w:val="en-US" w:eastAsia="zh-CN"/>
        </w:rPr>
        <w:t>调研数据显示，79.99%的毕业生认为疫情常态化对其就业有影响。</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14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 xml:space="preserve">疫情常态化对2023届毕业生就业的影响  </w:t>
      </w:r>
      <w:r>
        <w:rPr>
          <w:rFonts w:hint="eastAsia" w:asciiTheme="minorEastAsia" w:hAnsiTheme="minorEastAsia" w:eastAsiaTheme="minorEastAsia"/>
          <w:sz w:val="20"/>
          <w:szCs w:val="20"/>
          <w:lang w:val="en-US" w:eastAsia="zh-CN"/>
        </w:rPr>
        <w:drawing>
          <wp:inline distT="0" distB="0" distL="114300" distR="114300">
            <wp:extent cx="3296285" cy="2360295"/>
            <wp:effectExtent l="4445" t="4445" r="13970" b="1651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pStyle w:val="6"/>
        <w:rPr>
          <w:rFonts w:hint="eastAsia"/>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（三）获得当前工作时间</w:t>
      </w:r>
    </w:p>
    <w:p>
      <w:pPr>
        <w:numPr>
          <w:ilvl w:val="0"/>
          <w:numId w:val="0"/>
        </w:numPr>
        <w:ind w:leftChars="0"/>
        <w:jc w:val="left"/>
        <w:rPr>
          <w:rFonts w:hint="default"/>
          <w:sz w:val="28"/>
          <w:szCs w:val="28"/>
          <w:lang w:val="en-US" w:eastAsia="zh-CN"/>
        </w:rPr>
      </w:pPr>
      <w:r>
        <w:rPr>
          <w:rFonts w:hint="eastAsia"/>
          <w:sz w:val="28"/>
          <w:szCs w:val="28"/>
          <w:lang w:val="en-US" w:eastAsia="zh-CN"/>
        </w:rPr>
        <w:t xml:space="preserve">    调研数据显示，毕业生获得当前工作的时间主要集中在“毕业季”（35.28%），其次为“其他”（31.70%）、“春季校招期间”（16.86%）。</w:t>
      </w:r>
    </w:p>
    <w:p>
      <w:pPr>
        <w:numPr>
          <w:ilvl w:val="0"/>
          <w:numId w:val="0"/>
        </w:numPr>
        <w:ind w:leftChars="0"/>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drawing>
          <wp:inline distT="0" distB="0" distL="114300" distR="114300">
            <wp:extent cx="5132705" cy="2574290"/>
            <wp:effectExtent l="4445" t="4445" r="6350" b="1206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15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2023届毕业生获得当前工作时间</w:t>
      </w:r>
    </w:p>
    <w:p>
      <w:pPr>
        <w:pStyle w:val="6"/>
        <w:rPr>
          <w:rFonts w:hint="eastAsia"/>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（四）求职成功所用时间</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调研数据显示，毕业生成功就职所用时间主要集中在“1个月以内”（48.91%），其次为“1-3个月”（30.92%）、“4-6个月”（10.22%）。总体来看，毕业生求职成功用时较短，90.05%的毕业生能在半年内求职成功。</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4072255" cy="2082800"/>
            <wp:effectExtent l="4445" t="4445" r="19050" b="8255"/>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16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2023届毕业生求职成功所用时间</w:t>
      </w:r>
    </w:p>
    <w:p>
      <w:pPr>
        <w:pStyle w:val="6"/>
        <w:rPr>
          <w:rFonts w:hint="eastAsia"/>
          <w:lang w:val="ru-RU"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（五）获得工作机会数量</w:t>
      </w:r>
    </w:p>
    <w:p>
      <w:pPr>
        <w:numPr>
          <w:ilvl w:val="0"/>
          <w:numId w:val="0"/>
        </w:numPr>
        <w:ind w:firstLine="560" w:firstLineChars="200"/>
        <w:jc w:val="left"/>
        <w:rPr>
          <w:rFonts w:hint="eastAsia"/>
          <w:sz w:val="28"/>
          <w:szCs w:val="28"/>
          <w:lang w:val="en-US" w:eastAsia="zh-CN"/>
        </w:rPr>
      </w:pPr>
      <w:r>
        <w:rPr>
          <w:rFonts w:hint="eastAsia"/>
          <w:sz w:val="28"/>
          <w:szCs w:val="28"/>
          <w:lang w:val="en-US" w:eastAsia="zh-CN"/>
        </w:rPr>
        <w:t>调研数据显示，毕业生求职过程中平均获得工作岗位为2.64个。28.73%的毕业生获得“2个”工作机会，24.54%的毕业生获得了“3个”工作机会。</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852545" cy="2269490"/>
            <wp:effectExtent l="4445" t="4445" r="10160" b="12065"/>
            <wp:docPr id="66" name="图表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17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2023届毕业生获得工作机会数量</w:t>
      </w:r>
    </w:p>
    <w:p>
      <w:pPr>
        <w:pStyle w:val="6"/>
        <w:rPr>
          <w:rFonts w:hint="default"/>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（六）求职时的短板</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在求职就业过程中，毕业生认为自身主要短板为“沟通协调能力”（38.93%），其次为“专业知识和技能”（38.66%）、“对社会的了解”（30.93%）。这说明，学校除了应加强专业知识和技能的培养，还应在开展就业指导课程时注重对学生相关方面能力的提升。</w:t>
      </w:r>
    </w:p>
    <w:p>
      <w:pPr>
        <w:numPr>
          <w:ilvl w:val="0"/>
          <w:numId w:val="0"/>
        </w:numPr>
        <w:jc w:val="left"/>
        <w:rPr>
          <w:rFonts w:hint="eastAsia"/>
          <w:sz w:val="28"/>
          <w:szCs w:val="28"/>
          <w:lang w:val="en-US" w:eastAsia="zh-CN"/>
        </w:rPr>
      </w:pPr>
      <w:r>
        <w:rPr>
          <w:rFonts w:hint="eastAsia"/>
          <w:sz w:val="28"/>
          <w:szCs w:val="28"/>
          <w:lang w:val="en-US" w:eastAsia="zh-CN"/>
        </w:rPr>
        <w:drawing>
          <wp:inline distT="0" distB="0" distL="114300" distR="114300">
            <wp:extent cx="5678805" cy="2469515"/>
            <wp:effectExtent l="4445" t="4445" r="12700" b="21590"/>
            <wp:docPr id="83" name="图表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ind w:firstLine="400" w:firstLineChars="200"/>
        <w:jc w:val="center"/>
        <w:rPr>
          <w:rFonts w:hint="eastAsia"/>
          <w:sz w:val="36"/>
          <w:szCs w:val="36"/>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18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2023届毕业生求职时的短板（多选）</w:t>
      </w: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ind w:firstLine="720" w:firstLineChars="200"/>
        <w:jc w:val="center"/>
        <w:rPr>
          <w:rFonts w:hint="eastAsia"/>
          <w:sz w:val="36"/>
          <w:szCs w:val="36"/>
          <w:lang w:val="en-US" w:eastAsia="zh-CN"/>
        </w:rPr>
      </w:pPr>
    </w:p>
    <w:p>
      <w:pPr>
        <w:jc w:val="both"/>
        <w:rPr>
          <w:rFonts w:hint="eastAsia"/>
          <w:sz w:val="36"/>
          <w:szCs w:val="36"/>
          <w:lang w:val="en-US" w:eastAsia="zh-CN"/>
        </w:rPr>
      </w:pPr>
    </w:p>
    <w:p>
      <w:pPr>
        <w:pStyle w:val="6"/>
        <w:rPr>
          <w:rFonts w:hint="eastAsia"/>
          <w:sz w:val="36"/>
          <w:szCs w:val="36"/>
          <w:lang w:val="en-US" w:eastAsia="zh-CN"/>
        </w:rPr>
      </w:pPr>
    </w:p>
    <w:p>
      <w:pPr>
        <w:pStyle w:val="2"/>
        <w:rPr>
          <w:rFonts w:hint="eastAsia"/>
          <w:sz w:val="36"/>
          <w:szCs w:val="36"/>
          <w:lang w:val="en-US" w:eastAsia="zh-CN"/>
        </w:rPr>
      </w:pPr>
    </w:p>
    <w:p>
      <w:pPr>
        <w:pStyle w:val="10"/>
        <w:ind w:left="0" w:leftChars="0" w:firstLine="0" w:firstLineChars="0"/>
        <w:rPr>
          <w:rFonts w:hint="eastAsia"/>
          <w:lang w:val="en-US" w:eastAsia="zh-CN"/>
        </w:rPr>
      </w:pPr>
    </w:p>
    <w:p>
      <w:pPr>
        <w:rPr>
          <w:rFonts w:hint="eastAsia"/>
          <w:lang w:val="en-US" w:eastAsia="zh-CN"/>
        </w:rPr>
      </w:pPr>
    </w:p>
    <w:p>
      <w:pPr>
        <w:pStyle w:val="6"/>
        <w:rPr>
          <w:rFonts w:hint="eastAsia"/>
          <w:lang w:val="en-US" w:eastAsia="zh-CN"/>
        </w:rPr>
      </w:pPr>
    </w:p>
    <w:p>
      <w:pPr>
        <w:jc w:val="center"/>
        <w:rPr>
          <w:rFonts w:hint="default"/>
          <w:sz w:val="28"/>
          <w:szCs w:val="28"/>
          <w:lang w:val="en-US"/>
        </w:rPr>
      </w:pPr>
      <w:r>
        <w:rPr>
          <w:rFonts w:hint="eastAsia"/>
          <w:sz w:val="36"/>
          <w:szCs w:val="36"/>
          <w:lang w:val="en-US" w:eastAsia="zh-CN"/>
        </w:rPr>
        <w:t>第四章 毕业生升学情况</w:t>
      </w:r>
    </w:p>
    <w:p>
      <w:pPr>
        <w:ind w:firstLine="560" w:firstLineChars="200"/>
        <w:jc w:val="left"/>
        <w:rPr>
          <w:rFonts w:hint="eastAsia"/>
          <w:sz w:val="28"/>
          <w:szCs w:val="28"/>
          <w:lang w:val="en-US" w:eastAsia="zh-CN"/>
        </w:rPr>
      </w:pPr>
      <w:r>
        <w:rPr>
          <w:rFonts w:hint="eastAsia"/>
          <w:sz w:val="28"/>
          <w:szCs w:val="28"/>
          <w:lang w:val="en-US" w:eastAsia="zh-CN"/>
        </w:rPr>
        <w:t>2023届毕业生升学124人，升学率3.08%。</w:t>
      </w:r>
    </w:p>
    <w:p>
      <w:pPr>
        <w:numPr>
          <w:ilvl w:val="0"/>
          <w:numId w:val="12"/>
        </w:numPr>
        <w:jc w:val="left"/>
        <w:rPr>
          <w:rFonts w:hint="eastAsia"/>
          <w:sz w:val="28"/>
          <w:szCs w:val="28"/>
          <w:lang w:val="en-US" w:eastAsia="zh-CN"/>
        </w:rPr>
      </w:pPr>
      <w:r>
        <w:rPr>
          <w:rFonts w:hint="eastAsia"/>
          <w:sz w:val="28"/>
          <w:szCs w:val="28"/>
          <w:lang w:val="en-US" w:eastAsia="zh-CN"/>
        </w:rPr>
        <w:t>升学情况</w:t>
      </w:r>
    </w:p>
    <w:p>
      <w:pPr>
        <w:numPr>
          <w:ilvl w:val="0"/>
          <w:numId w:val="0"/>
        </w:numPr>
        <w:ind w:firstLine="560"/>
        <w:jc w:val="left"/>
        <w:rPr>
          <w:rFonts w:hint="default"/>
          <w:lang w:val="en-US" w:eastAsia="zh-CN"/>
        </w:rPr>
      </w:pPr>
      <w:r>
        <w:rPr>
          <w:rFonts w:hint="eastAsia"/>
          <w:sz w:val="28"/>
          <w:szCs w:val="28"/>
          <w:lang w:val="en-US" w:eastAsia="zh-CN"/>
        </w:rPr>
        <w:t>2023届毕业生升学124人，升学率3.08%。</w:t>
      </w:r>
      <w:r>
        <w:rPr>
          <w:rFonts w:hint="eastAsia"/>
          <w:color w:val="auto"/>
          <w:sz w:val="28"/>
          <w:szCs w:val="28"/>
          <w:lang w:val="en-US" w:eastAsia="zh-CN"/>
        </w:rPr>
        <w:t>升学率排名前三的二</w:t>
      </w:r>
      <w:r>
        <w:rPr>
          <w:rFonts w:hint="eastAsia"/>
          <w:sz w:val="28"/>
          <w:szCs w:val="28"/>
          <w:lang w:val="en-US" w:eastAsia="zh-CN"/>
        </w:rPr>
        <w:t>级学院为：财会工商学院（升学人数44人，升学率5.91%）、电梯工程学院（升学人数16人，升学率3.14%）、信息技术学院（升学人数16人，升学率2.68%）。毕业生升学率排名前三的专业为：金融管理（升学人数5人，升学率8.62%）、宠物临床诊疗技术（升学人数3人，升学率7.89%）、计算机网络技术（升学人数5人，升学率6.33%）。</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2023届毕业生分专业升学情况</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8513" w:type="dxa"/>
        <w:tblInd w:w="3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338"/>
        <w:gridCol w:w="2662"/>
        <w:gridCol w:w="1238"/>
        <w:gridCol w:w="1212"/>
        <w:gridCol w:w="1063"/>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66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238"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毕业生人数</w:t>
            </w:r>
          </w:p>
        </w:tc>
        <w:tc>
          <w:tcPr>
            <w:tcW w:w="121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升学人数</w:t>
            </w:r>
          </w:p>
        </w:tc>
        <w:tc>
          <w:tcPr>
            <w:tcW w:w="1063"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升学率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会计</w:t>
            </w:r>
          </w:p>
        </w:tc>
        <w:tc>
          <w:tcPr>
            <w:tcW w:w="123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403</w:t>
            </w:r>
          </w:p>
        </w:tc>
        <w:tc>
          <w:tcPr>
            <w:tcW w:w="12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w:t>
            </w:r>
          </w:p>
        </w:tc>
        <w:tc>
          <w:tcPr>
            <w:tcW w:w="1063"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6.20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eastAsia="zh-CN"/>
              </w:rPr>
              <w:t>文秘</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166</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5.42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旅游管理</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118</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4.24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金融管理</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58</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8.62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财会工商学院 汇总</w:t>
            </w:r>
          </w:p>
        </w:tc>
        <w:tc>
          <w:tcPr>
            <w:tcW w:w="1238"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745</w:t>
            </w:r>
          </w:p>
        </w:tc>
        <w:tc>
          <w:tcPr>
            <w:tcW w:w="1212" w:type="dxa"/>
            <w:shd w:val="clear" w:color="auto" w:fill="D2EAF0" w:themeFill="accent5" w:themeFillTint="3F"/>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44</w:t>
            </w:r>
          </w:p>
        </w:tc>
        <w:tc>
          <w:tcPr>
            <w:tcW w:w="1063" w:type="dxa"/>
            <w:shd w:val="clear" w:color="auto" w:fill="D2EAF0" w:themeFill="accent5" w:themeFillTint="3F"/>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5.91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252</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1.98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221</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4.07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物联网应用技术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5.56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509</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16</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3.14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p>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艺术创意学院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电子商务</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433</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0.92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服装与服饰设计</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91</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4.40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ru-RU" w:eastAsia="zh-CN"/>
              </w:rPr>
              <w:t>广告设计与制作</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en-US" w:eastAsia="zh-CN"/>
              </w:rPr>
              <w:t>189</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4.23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艺术创意学院 汇总</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713</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sz w:val="20"/>
                <w:szCs w:val="20"/>
                <w:highlight w:val="none"/>
                <w:lang w:val="en-US"/>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16</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2.24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266</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81</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2.47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38</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7.89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生物工程学院 汇总</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385</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2.60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662"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eastAsia="zh-CN"/>
              </w:rPr>
              <w:t>汽车检测与维修技术</w:t>
            </w:r>
          </w:p>
        </w:tc>
        <w:tc>
          <w:tcPr>
            <w:tcW w:w="1238"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168</w:t>
            </w:r>
          </w:p>
        </w:tc>
        <w:tc>
          <w:tcPr>
            <w:tcW w:w="1212"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0.53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right"/>
              <w:rPr>
                <w:rFonts w:hint="default" w:asciiTheme="minorEastAsia" w:hAnsiTheme="minorEastAsia" w:eastAsiaTheme="minorEastAsia"/>
                <w:b w:val="0"/>
                <w:bCs w:val="0"/>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1238" w:type="dxa"/>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356</w:t>
            </w:r>
          </w:p>
        </w:tc>
        <w:tc>
          <w:tcPr>
            <w:tcW w:w="1212" w:type="dxa"/>
            <w:shd w:val="clear" w:color="auto" w:fill="92CDDC" w:themeFill="accent5" w:themeFillTint="99"/>
            <w:vAlign w:val="center"/>
          </w:tcPr>
          <w:p>
            <w:pPr>
              <w:jc w:val="right"/>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w:t>
            </w:r>
          </w:p>
        </w:tc>
        <w:tc>
          <w:tcPr>
            <w:tcW w:w="1063"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0.84</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建筑工程学院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23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496</w:t>
            </w:r>
          </w:p>
        </w:tc>
        <w:tc>
          <w:tcPr>
            <w:tcW w:w="12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w:t>
            </w:r>
          </w:p>
        </w:tc>
        <w:tc>
          <w:tcPr>
            <w:tcW w:w="1063"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2.22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工程造价</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6.33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建筑装饰工程技术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143</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2.10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建筑工程学院 汇总</w:t>
            </w:r>
          </w:p>
        </w:tc>
        <w:tc>
          <w:tcPr>
            <w:tcW w:w="1238"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718</w:t>
            </w:r>
          </w:p>
        </w:tc>
        <w:tc>
          <w:tcPr>
            <w:tcW w:w="1212"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19</w:t>
            </w:r>
          </w:p>
        </w:tc>
        <w:tc>
          <w:tcPr>
            <w:tcW w:w="1063"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2.65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信息技术学院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计算机应用技术</w:t>
            </w:r>
          </w:p>
        </w:tc>
        <w:tc>
          <w:tcPr>
            <w:tcW w:w="123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477</w:t>
            </w:r>
          </w:p>
        </w:tc>
        <w:tc>
          <w:tcPr>
            <w:tcW w:w="12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w:t>
            </w:r>
          </w:p>
        </w:tc>
        <w:tc>
          <w:tcPr>
            <w:tcW w:w="1063"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6.33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eastAsia="zh-CN"/>
              </w:rPr>
              <w:t>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信息技术学院 汇总</w:t>
            </w:r>
          </w:p>
        </w:tc>
        <w:tc>
          <w:tcPr>
            <w:tcW w:w="1238"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596</w:t>
            </w:r>
          </w:p>
        </w:tc>
        <w:tc>
          <w:tcPr>
            <w:tcW w:w="1212"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16</w:t>
            </w:r>
          </w:p>
        </w:tc>
        <w:tc>
          <w:tcPr>
            <w:tcW w:w="1063"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2.68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asciiTheme="minorEastAsia" w:hAnsiTheme="minorEastAsia" w:eastAsiaTheme="minorEastAsia"/>
                <w:sz w:val="20"/>
                <w:szCs w:val="20"/>
                <w:lang w:val="ru-RU"/>
              </w:rPr>
            </w:pP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4022</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124</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sz w:val="20"/>
                <w:szCs w:val="20"/>
                <w:lang w:val="en-US" w:eastAsia="zh-CN"/>
              </w:rPr>
              <w:t>3.08</w:t>
            </w:r>
          </w:p>
        </w:tc>
      </w:tr>
    </w:tbl>
    <w:p>
      <w:pPr>
        <w:numPr>
          <w:ilvl w:val="0"/>
          <w:numId w:val="0"/>
        </w:numPr>
        <w:ind w:leftChars="0"/>
        <w:jc w:val="left"/>
        <w:rPr>
          <w:rFonts w:hint="eastAsia"/>
          <w:sz w:val="28"/>
          <w:szCs w:val="28"/>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二、升学评价与反馈</w:t>
      </w:r>
    </w:p>
    <w:p>
      <w:pPr>
        <w:numPr>
          <w:ilvl w:val="0"/>
          <w:numId w:val="0"/>
        </w:numPr>
        <w:ind w:leftChars="0"/>
        <w:jc w:val="left"/>
        <w:rPr>
          <w:rFonts w:hint="eastAsia"/>
          <w:sz w:val="28"/>
          <w:szCs w:val="28"/>
          <w:lang w:val="en-US" w:eastAsia="zh-CN"/>
        </w:rPr>
      </w:pPr>
      <w:r>
        <w:rPr>
          <w:rFonts w:hint="eastAsia"/>
          <w:sz w:val="28"/>
          <w:szCs w:val="28"/>
          <w:lang w:val="en-US" w:eastAsia="zh-CN"/>
        </w:rPr>
        <w:t>（一）毕业生升学原因</w:t>
      </w:r>
    </w:p>
    <w:p>
      <w:pPr>
        <w:ind w:firstLine="560" w:firstLineChars="200"/>
        <w:jc w:val="left"/>
        <w:rPr>
          <w:rFonts w:hint="default"/>
          <w:sz w:val="28"/>
          <w:szCs w:val="28"/>
          <w:lang w:val="en-US" w:eastAsia="zh-CN"/>
        </w:rPr>
      </w:pPr>
      <w:r>
        <w:rPr>
          <w:rFonts w:hint="eastAsia"/>
          <w:sz w:val="28"/>
          <w:szCs w:val="28"/>
          <w:lang w:val="ru-RU"/>
        </w:rPr>
        <w:t>根据调研数据统计，20</w:t>
      </w:r>
      <w:r>
        <w:rPr>
          <w:rFonts w:hint="eastAsia"/>
          <w:sz w:val="28"/>
          <w:szCs w:val="28"/>
          <w:lang w:val="en-US" w:eastAsia="zh-CN"/>
        </w:rPr>
        <w:t>23</w:t>
      </w:r>
      <w:r>
        <w:rPr>
          <w:rFonts w:hint="eastAsia"/>
          <w:sz w:val="28"/>
          <w:szCs w:val="28"/>
          <w:lang w:val="ru-RU"/>
        </w:rPr>
        <w:t>届毕业生</w:t>
      </w:r>
      <w:r>
        <w:rPr>
          <w:rFonts w:hint="eastAsia"/>
          <w:sz w:val="28"/>
          <w:szCs w:val="28"/>
          <w:lang w:val="en-US" w:eastAsia="zh-CN"/>
        </w:rPr>
        <w:t>境内</w:t>
      </w:r>
      <w:r>
        <w:rPr>
          <w:rFonts w:hint="eastAsia"/>
          <w:sz w:val="28"/>
          <w:szCs w:val="28"/>
          <w:lang w:val="ru-RU"/>
        </w:rPr>
        <w:t>升学的主要原因是</w:t>
      </w:r>
      <w:r>
        <w:rPr>
          <w:rFonts w:hint="eastAsia"/>
          <w:sz w:val="28"/>
          <w:szCs w:val="28"/>
          <w:lang w:val="ru-RU" w:eastAsia="zh-CN"/>
        </w:rPr>
        <w:t>“</w:t>
      </w:r>
      <w:r>
        <w:rPr>
          <w:rFonts w:hint="eastAsia"/>
          <w:sz w:val="28"/>
          <w:szCs w:val="28"/>
          <w:lang w:val="en-US" w:eastAsia="zh-CN"/>
        </w:rPr>
        <w:t>提升学历层次（56.90%）</w:t>
      </w:r>
      <w:r>
        <w:rPr>
          <w:rFonts w:hint="eastAsia"/>
          <w:sz w:val="28"/>
          <w:szCs w:val="28"/>
          <w:lang w:val="ru-RU" w:eastAsia="zh-CN"/>
        </w:rPr>
        <w:t>”，</w:t>
      </w:r>
      <w:r>
        <w:rPr>
          <w:rFonts w:hint="eastAsia"/>
          <w:sz w:val="28"/>
          <w:szCs w:val="28"/>
          <w:lang w:val="ru-RU"/>
        </w:rPr>
        <w:t>其次是</w:t>
      </w:r>
      <w:r>
        <w:rPr>
          <w:rFonts w:hint="eastAsia"/>
          <w:sz w:val="28"/>
          <w:szCs w:val="28"/>
          <w:lang w:val="ru-RU" w:eastAsia="zh-CN"/>
        </w:rPr>
        <w:t>“</w:t>
      </w:r>
      <w:r>
        <w:rPr>
          <w:rFonts w:hint="eastAsia"/>
          <w:sz w:val="28"/>
          <w:szCs w:val="28"/>
          <w:lang w:val="en-US" w:eastAsia="zh-CN"/>
        </w:rPr>
        <w:t>对专业感兴趣，愿深入学习</w:t>
      </w:r>
      <w:r>
        <w:rPr>
          <w:rFonts w:hint="eastAsia"/>
          <w:sz w:val="28"/>
          <w:szCs w:val="28"/>
          <w:lang w:val="ru-RU" w:eastAsia="zh-CN"/>
        </w:rPr>
        <w:t>”（</w:t>
      </w:r>
      <w:r>
        <w:rPr>
          <w:rFonts w:hint="eastAsia"/>
          <w:sz w:val="28"/>
          <w:szCs w:val="28"/>
          <w:lang w:val="en-US" w:eastAsia="zh-CN"/>
        </w:rPr>
        <w:t>12.07%</w:t>
      </w:r>
      <w:r>
        <w:rPr>
          <w:rFonts w:hint="eastAsia"/>
          <w:sz w:val="28"/>
          <w:szCs w:val="28"/>
          <w:lang w:val="ru-RU" w:eastAsia="zh-CN"/>
        </w:rPr>
        <w:t>），</w:t>
      </w:r>
      <w:r>
        <w:rPr>
          <w:rFonts w:hint="eastAsia"/>
          <w:sz w:val="28"/>
          <w:szCs w:val="28"/>
          <w:lang w:val="en-US" w:eastAsia="zh-CN"/>
        </w:rPr>
        <w:t>第三是“提升综合能力”（10.34%）。</w:t>
      </w:r>
    </w:p>
    <w:p>
      <w:pPr>
        <w:pStyle w:val="6"/>
        <w:jc w:val="center"/>
        <w:rPr>
          <w:rFonts w:ascii="宋体" w:hAnsi="宋体" w:eastAsia="宋体" w:cs="宋体"/>
          <w:sz w:val="20"/>
          <w:szCs w:val="20"/>
          <w:highlight w:val="none"/>
        </w:rPr>
      </w:pPr>
      <w:r>
        <w:rPr>
          <w:rFonts w:hint="eastAsia" w:eastAsia="宋体"/>
          <w:sz w:val="28"/>
          <w:szCs w:val="28"/>
          <w:lang w:val="ru-RU" w:eastAsia="zh-CN"/>
        </w:rPr>
        <w:drawing>
          <wp:inline distT="0" distB="0" distL="114300" distR="114300">
            <wp:extent cx="5539105" cy="2254885"/>
            <wp:effectExtent l="4445" t="4445" r="19050" b="762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hint="eastAsia"/>
          <w:sz w:val="28"/>
          <w:szCs w:val="28"/>
          <w:lang w:val="en-US" w:eastAsia="zh-CN"/>
        </w:rPr>
        <w:t xml:space="preserve">  </w:t>
      </w:r>
      <w:r>
        <w:rPr>
          <w:rFonts w:ascii="宋体" w:hAnsi="宋体" w:eastAsia="宋体" w:cs="宋体"/>
          <w:sz w:val="20"/>
          <w:szCs w:val="20"/>
          <w:highlight w:val="none"/>
        </w:rPr>
        <w:t>图</w:t>
      </w:r>
      <w:r>
        <w:rPr>
          <w:rFonts w:hint="eastAsia" w:ascii="宋体" w:hAnsi="宋体" w:cs="宋体"/>
          <w:sz w:val="20"/>
          <w:szCs w:val="20"/>
          <w:highlight w:val="none"/>
          <w:lang w:val="en-US" w:eastAsia="zh-CN"/>
        </w:rPr>
        <w:t>4</w:t>
      </w:r>
      <w:r>
        <w:rPr>
          <w:rFonts w:ascii="宋体" w:hAnsi="宋体" w:eastAsia="宋体" w:cs="宋体"/>
          <w:sz w:val="20"/>
          <w:szCs w:val="20"/>
          <w:highlight w:val="none"/>
        </w:rPr>
        <w:t>-</w:t>
      </w:r>
      <w:r>
        <w:rPr>
          <w:rFonts w:hint="eastAsia" w:ascii="宋体" w:hAnsi="宋体" w:cs="宋体"/>
          <w:sz w:val="20"/>
          <w:szCs w:val="20"/>
          <w:highlight w:val="none"/>
          <w:lang w:val="en-US" w:eastAsia="zh-CN"/>
        </w:rPr>
        <w:t>1</w:t>
      </w:r>
      <w:r>
        <w:rPr>
          <w:rFonts w:ascii="宋体" w:hAnsi="宋体" w:eastAsia="宋体" w:cs="宋体"/>
          <w:sz w:val="20"/>
          <w:szCs w:val="20"/>
          <w:highlight w:val="none"/>
        </w:rPr>
        <w:t> 20</w:t>
      </w:r>
      <w:r>
        <w:rPr>
          <w:rFonts w:hint="eastAsia" w:ascii="宋体" w:hAnsi="宋体" w:cs="宋体"/>
          <w:sz w:val="20"/>
          <w:szCs w:val="20"/>
          <w:highlight w:val="none"/>
          <w:lang w:val="en-US" w:eastAsia="zh-CN"/>
        </w:rPr>
        <w:t>23</w:t>
      </w:r>
      <w:r>
        <w:rPr>
          <w:rFonts w:ascii="宋体" w:hAnsi="宋体" w:eastAsia="宋体" w:cs="宋体"/>
          <w:sz w:val="20"/>
          <w:szCs w:val="20"/>
          <w:highlight w:val="none"/>
        </w:rPr>
        <w:t>届毕业生升学的原因</w:t>
      </w:r>
    </w:p>
    <w:p>
      <w:pPr>
        <w:pStyle w:val="6"/>
        <w:rPr>
          <w:rFonts w:hint="default"/>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（二）升学专业一致性</w:t>
      </w:r>
    </w:p>
    <w:p>
      <w:pPr>
        <w:ind w:firstLine="560" w:firstLineChars="200"/>
        <w:jc w:val="left"/>
        <w:rPr>
          <w:rFonts w:hint="eastAsia"/>
          <w:sz w:val="28"/>
          <w:szCs w:val="28"/>
          <w:lang w:val="ru-RU"/>
        </w:rPr>
      </w:pPr>
      <w:r>
        <w:rPr>
          <w:rFonts w:hint="eastAsia"/>
          <w:sz w:val="28"/>
          <w:szCs w:val="28"/>
          <w:lang w:val="ru-RU"/>
        </w:rPr>
        <w:t>根据调研数据统计，</w:t>
      </w:r>
      <w:r>
        <w:rPr>
          <w:rFonts w:hint="eastAsia"/>
          <w:sz w:val="28"/>
          <w:szCs w:val="28"/>
          <w:lang w:val="en-US" w:eastAsia="zh-CN"/>
        </w:rPr>
        <w:t>2023</w:t>
      </w:r>
      <w:r>
        <w:rPr>
          <w:rFonts w:hint="eastAsia"/>
          <w:sz w:val="28"/>
          <w:szCs w:val="28"/>
          <w:lang w:val="ru-RU"/>
        </w:rPr>
        <w:t>届毕业生升学前后专业的一致性为</w:t>
      </w:r>
      <w:r>
        <w:rPr>
          <w:rFonts w:hint="eastAsia"/>
          <w:sz w:val="28"/>
          <w:szCs w:val="28"/>
          <w:lang w:val="en-US" w:eastAsia="zh-CN"/>
        </w:rPr>
        <w:t>79.31</w:t>
      </w:r>
      <w:r>
        <w:rPr>
          <w:sz w:val="28"/>
          <w:szCs w:val="28"/>
          <w:lang w:val="ru-RU"/>
        </w:rPr>
        <w:t>%</w:t>
      </w:r>
      <w:r>
        <w:rPr>
          <w:rFonts w:hint="eastAsia"/>
          <w:sz w:val="28"/>
          <w:szCs w:val="28"/>
          <w:lang w:val="ru-RU"/>
        </w:rPr>
        <w:t>，其中</w:t>
      </w:r>
      <w:r>
        <w:rPr>
          <w:sz w:val="28"/>
          <w:szCs w:val="28"/>
          <w:lang w:val="ru-RU"/>
        </w:rPr>
        <w:t>“</w:t>
      </w:r>
      <w:r>
        <w:rPr>
          <w:rFonts w:hint="eastAsia"/>
          <w:sz w:val="28"/>
          <w:szCs w:val="28"/>
          <w:lang w:val="ru-RU"/>
        </w:rPr>
        <w:t>非常一致</w:t>
      </w:r>
      <w:r>
        <w:rPr>
          <w:sz w:val="28"/>
          <w:szCs w:val="28"/>
          <w:lang w:val="ru-RU"/>
        </w:rPr>
        <w:t>”</w:t>
      </w:r>
      <w:r>
        <w:rPr>
          <w:rFonts w:hint="eastAsia"/>
          <w:sz w:val="28"/>
          <w:szCs w:val="28"/>
          <w:lang w:val="ru-RU"/>
        </w:rPr>
        <w:t>（</w:t>
      </w:r>
      <w:r>
        <w:rPr>
          <w:rFonts w:hint="eastAsia"/>
          <w:sz w:val="28"/>
          <w:szCs w:val="28"/>
          <w:lang w:val="en-US" w:eastAsia="zh-CN"/>
        </w:rPr>
        <w:t>39.66</w:t>
      </w:r>
      <w:r>
        <w:rPr>
          <w:sz w:val="28"/>
          <w:szCs w:val="28"/>
          <w:lang w:val="ru-RU"/>
        </w:rPr>
        <w:t>%</w:t>
      </w:r>
      <w:r>
        <w:rPr>
          <w:rFonts w:hint="eastAsia"/>
          <w:sz w:val="28"/>
          <w:szCs w:val="28"/>
          <w:lang w:val="ru-RU"/>
        </w:rPr>
        <w:t>）、</w:t>
      </w:r>
      <w:r>
        <w:rPr>
          <w:sz w:val="28"/>
          <w:szCs w:val="28"/>
          <w:lang w:val="ru-RU"/>
        </w:rPr>
        <w:t xml:space="preserve"> “</w:t>
      </w:r>
      <w:r>
        <w:rPr>
          <w:rFonts w:hint="eastAsia"/>
          <w:sz w:val="28"/>
          <w:szCs w:val="28"/>
          <w:lang w:val="en-US" w:eastAsia="zh-CN"/>
        </w:rPr>
        <w:t>比较</w:t>
      </w:r>
      <w:r>
        <w:rPr>
          <w:rFonts w:hint="eastAsia"/>
          <w:sz w:val="28"/>
          <w:szCs w:val="28"/>
          <w:lang w:val="ru-RU"/>
        </w:rPr>
        <w:t>一致</w:t>
      </w:r>
      <w:r>
        <w:rPr>
          <w:sz w:val="28"/>
          <w:szCs w:val="28"/>
          <w:lang w:val="ru-RU"/>
        </w:rPr>
        <w:t>”</w:t>
      </w:r>
      <w:r>
        <w:rPr>
          <w:rFonts w:hint="eastAsia"/>
          <w:sz w:val="28"/>
          <w:szCs w:val="28"/>
          <w:lang w:val="ru-RU" w:eastAsia="zh-CN"/>
        </w:rPr>
        <w:t>（</w:t>
      </w:r>
      <w:r>
        <w:rPr>
          <w:rFonts w:hint="eastAsia"/>
          <w:sz w:val="28"/>
          <w:szCs w:val="28"/>
          <w:lang w:val="en-US" w:eastAsia="zh-CN"/>
        </w:rPr>
        <w:t>27.58</w:t>
      </w:r>
      <w:r>
        <w:rPr>
          <w:sz w:val="28"/>
          <w:szCs w:val="28"/>
          <w:lang w:val="ru-RU"/>
        </w:rPr>
        <w:t>%</w:t>
      </w:r>
      <w:r>
        <w:rPr>
          <w:rFonts w:hint="eastAsia"/>
          <w:sz w:val="28"/>
          <w:szCs w:val="28"/>
          <w:lang w:val="ru-RU"/>
        </w:rPr>
        <w:t>）。说明大部分毕业生在升学的时候选择与自己之前所学专业一致或者相近的专业。</w:t>
      </w:r>
    </w:p>
    <w:p>
      <w:pPr>
        <w:jc w:val="left"/>
        <w:rPr>
          <w:sz w:val="28"/>
          <w:szCs w:val="28"/>
          <w:lang w:val="ru-RU"/>
        </w:rPr>
      </w:pPr>
      <w:r>
        <w:rPr>
          <w:rFonts w:hint="eastAsia"/>
          <w:sz w:val="28"/>
          <w:szCs w:val="28"/>
          <w:lang w:val="en-US" w:eastAsia="zh-CN"/>
        </w:rPr>
        <w:t xml:space="preserve">     </w:t>
      </w:r>
      <w:r>
        <w:rPr>
          <w:sz w:val="28"/>
          <w:szCs w:val="28"/>
        </w:rPr>
        <w:drawing>
          <wp:inline distT="0" distB="0" distL="0" distR="0">
            <wp:extent cx="4476750" cy="2302510"/>
            <wp:effectExtent l="4445" t="4445" r="14605" b="17145"/>
            <wp:docPr id="39" name="图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4</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2 </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届毕业生升学前后专业的一致性</w:t>
      </w:r>
    </w:p>
    <w:p>
      <w:pPr>
        <w:numPr>
          <w:ilvl w:val="0"/>
          <w:numId w:val="0"/>
        </w:num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注：专业的一致性=非常一致+比较一致+一致</w:t>
      </w:r>
    </w:p>
    <w:p>
      <w:pPr>
        <w:numPr>
          <w:ilvl w:val="0"/>
          <w:numId w:val="0"/>
        </w:numPr>
        <w:jc w:val="left"/>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rPr>
          <w:rFonts w:hint="default" w:asciiTheme="minorEastAsia" w:hAnsiTheme="minorEastAsia" w:eastAsiaTheme="minorEastAsia"/>
          <w:sz w:val="20"/>
          <w:szCs w:val="20"/>
          <w:lang w:val="en-US" w:eastAsia="zh-CN"/>
        </w:rPr>
      </w:pPr>
    </w:p>
    <w:p>
      <w:pPr>
        <w:pStyle w:val="6"/>
        <w:rPr>
          <w:rFonts w:hint="default" w:asciiTheme="minorEastAsia" w:hAnsiTheme="minorEastAsia" w:eastAsiaTheme="minorEastAsia"/>
          <w:sz w:val="20"/>
          <w:szCs w:val="20"/>
          <w:lang w:val="en-US" w:eastAsia="zh-CN"/>
        </w:rPr>
      </w:pPr>
    </w:p>
    <w:p>
      <w:pPr>
        <w:pStyle w:val="2"/>
        <w:rPr>
          <w:rFonts w:hint="default" w:asciiTheme="minorEastAsia" w:hAnsiTheme="minorEastAsia" w:eastAsiaTheme="minorEastAsia"/>
          <w:sz w:val="20"/>
          <w:szCs w:val="20"/>
          <w:lang w:val="en-US" w:eastAsia="zh-CN"/>
        </w:rPr>
      </w:pPr>
    </w:p>
    <w:p>
      <w:pPr>
        <w:jc w:val="center"/>
        <w:rPr>
          <w:rFonts w:hint="eastAsia"/>
          <w:sz w:val="36"/>
          <w:szCs w:val="36"/>
          <w:lang w:val="en-US" w:eastAsia="zh-CN"/>
        </w:rPr>
      </w:pPr>
    </w:p>
    <w:p>
      <w:pPr>
        <w:jc w:val="center"/>
        <w:rPr>
          <w:rFonts w:hint="default"/>
          <w:sz w:val="28"/>
          <w:szCs w:val="28"/>
          <w:lang w:val="en-US"/>
        </w:rPr>
      </w:pPr>
      <w:r>
        <w:rPr>
          <w:rFonts w:hint="eastAsia"/>
          <w:sz w:val="36"/>
          <w:szCs w:val="36"/>
          <w:lang w:val="en-US" w:eastAsia="zh-CN"/>
        </w:rPr>
        <w:t>第五章 毕业生自主创业情况</w:t>
      </w:r>
    </w:p>
    <w:p>
      <w:pPr>
        <w:ind w:firstLine="560" w:firstLineChars="200"/>
        <w:rPr>
          <w:rFonts w:hint="default"/>
          <w:lang w:val="en-US" w:eastAsia="zh-CN"/>
        </w:rPr>
      </w:pPr>
      <w:r>
        <w:rPr>
          <w:rFonts w:hint="eastAsia"/>
          <w:sz w:val="28"/>
          <w:szCs w:val="28"/>
          <w:lang w:val="en-US" w:eastAsia="zh-CN"/>
        </w:rPr>
        <w:t>2023届毕业生自主创业68人，自主创业率为1.69%</w:t>
      </w:r>
    </w:p>
    <w:p>
      <w:pPr>
        <w:numPr>
          <w:ilvl w:val="0"/>
          <w:numId w:val="0"/>
        </w:numPr>
        <w:ind w:leftChars="0"/>
        <w:jc w:val="left"/>
        <w:rPr>
          <w:rFonts w:hint="default"/>
          <w:sz w:val="28"/>
          <w:szCs w:val="28"/>
          <w:highlight w:val="none"/>
          <w:lang w:val="en-US" w:eastAsia="zh-CN"/>
        </w:rPr>
      </w:pPr>
      <w:r>
        <w:rPr>
          <w:rFonts w:hint="eastAsia"/>
          <w:sz w:val="28"/>
          <w:szCs w:val="28"/>
          <w:highlight w:val="none"/>
          <w:lang w:val="en-US" w:eastAsia="zh-CN"/>
        </w:rPr>
        <w:t>一、自主创业情况</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2023届毕业生共有68人选择自主创业，自主创业率为1.69%。创业人数最多的为建筑工程学院（21人，2.92%），其次是汽车与智能制造学院（10人，2.81%），艺术创意学院（15人，2.10%）。毕业生创业人数最多的专业是建筑工程技术（20人，4.03%），其次是电子商务（15人，3.46%），计算机应用技术（9人，1.89%）。</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2023届毕业生分专业自主创业情况</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8513" w:type="dxa"/>
        <w:tblInd w:w="3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338"/>
        <w:gridCol w:w="2662"/>
        <w:gridCol w:w="1238"/>
        <w:gridCol w:w="1212"/>
        <w:gridCol w:w="1063"/>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66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238"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毕业生人数</w:t>
            </w:r>
          </w:p>
        </w:tc>
        <w:tc>
          <w:tcPr>
            <w:tcW w:w="1212"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创业人数</w:t>
            </w:r>
          </w:p>
        </w:tc>
        <w:tc>
          <w:tcPr>
            <w:tcW w:w="1063"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创业率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会计</w:t>
            </w:r>
          </w:p>
        </w:tc>
        <w:tc>
          <w:tcPr>
            <w:tcW w:w="123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403</w:t>
            </w:r>
          </w:p>
        </w:tc>
        <w:tc>
          <w:tcPr>
            <w:tcW w:w="12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w:t>
            </w:r>
          </w:p>
        </w:tc>
        <w:tc>
          <w:tcPr>
            <w:tcW w:w="1063"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0.25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eastAsia="zh-CN"/>
              </w:rPr>
              <w:t>文秘</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166</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旅游管理</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118</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金融管理</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58</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财会工商学院 汇总</w:t>
            </w:r>
          </w:p>
        </w:tc>
        <w:tc>
          <w:tcPr>
            <w:tcW w:w="1238"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745</w:t>
            </w:r>
          </w:p>
        </w:tc>
        <w:tc>
          <w:tcPr>
            <w:tcW w:w="1212" w:type="dxa"/>
            <w:shd w:val="clear" w:color="auto" w:fill="D2EAF0" w:themeFill="accent5" w:themeFillTint="3F"/>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w:t>
            </w:r>
          </w:p>
        </w:tc>
        <w:tc>
          <w:tcPr>
            <w:tcW w:w="1063" w:type="dxa"/>
            <w:shd w:val="clear" w:color="auto" w:fill="D2EAF0" w:themeFill="accent5" w:themeFillTint="3F"/>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0.40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252</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0.40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221</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0.90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物联网应用技术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509</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0.59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p>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艺术创意学院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电子商务</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433</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3.46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服装与服饰设计</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91</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ru-RU" w:eastAsia="zh-CN"/>
              </w:rPr>
              <w:t>广告设计与制作</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en-US" w:eastAsia="zh-CN"/>
              </w:rPr>
              <w:t>189</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艺术创意学院 汇总</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713</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sz w:val="20"/>
                <w:szCs w:val="20"/>
                <w:highlight w:val="none"/>
                <w:lang w:val="en-US"/>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2.10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266</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81</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38</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生物工程学院 汇总</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385</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1.30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662"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eastAsia="zh-CN"/>
              </w:rPr>
              <w:t>汽车检测与维修技术</w:t>
            </w:r>
          </w:p>
        </w:tc>
        <w:tc>
          <w:tcPr>
            <w:tcW w:w="1238"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168</w:t>
            </w:r>
          </w:p>
        </w:tc>
        <w:tc>
          <w:tcPr>
            <w:tcW w:w="1212"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2.98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2.66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right"/>
              <w:rPr>
                <w:rFonts w:hint="default" w:asciiTheme="minorEastAsia" w:hAnsiTheme="minorEastAsia" w:eastAsiaTheme="minorEastAsia"/>
                <w:b w:val="0"/>
                <w:bCs w:val="0"/>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1238" w:type="dxa"/>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356</w:t>
            </w:r>
          </w:p>
        </w:tc>
        <w:tc>
          <w:tcPr>
            <w:tcW w:w="1212" w:type="dxa"/>
            <w:shd w:val="clear" w:color="auto" w:fill="92CDDC" w:themeFill="accent5" w:themeFillTint="99"/>
            <w:vAlign w:val="center"/>
          </w:tcPr>
          <w:p>
            <w:pPr>
              <w:jc w:val="right"/>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10</w:t>
            </w:r>
          </w:p>
        </w:tc>
        <w:tc>
          <w:tcPr>
            <w:tcW w:w="1063"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2.81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建筑工程学院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23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496</w:t>
            </w:r>
          </w:p>
        </w:tc>
        <w:tc>
          <w:tcPr>
            <w:tcW w:w="12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20</w:t>
            </w:r>
          </w:p>
        </w:tc>
        <w:tc>
          <w:tcPr>
            <w:tcW w:w="1063"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4.03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工程造价</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92" w:hRule="atLeast"/>
        </w:trPr>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建筑装饰工程技术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143</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0.70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建筑工程学院 汇总</w:t>
            </w:r>
          </w:p>
        </w:tc>
        <w:tc>
          <w:tcPr>
            <w:tcW w:w="1238"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718</w:t>
            </w:r>
          </w:p>
        </w:tc>
        <w:tc>
          <w:tcPr>
            <w:tcW w:w="1212"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21</w:t>
            </w:r>
          </w:p>
        </w:tc>
        <w:tc>
          <w:tcPr>
            <w:tcW w:w="1063"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2.92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信息技术学院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计算机应用技术</w:t>
            </w:r>
          </w:p>
        </w:tc>
        <w:tc>
          <w:tcPr>
            <w:tcW w:w="1238"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477</w:t>
            </w:r>
          </w:p>
        </w:tc>
        <w:tc>
          <w:tcPr>
            <w:tcW w:w="1212"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w:t>
            </w:r>
          </w:p>
        </w:tc>
        <w:tc>
          <w:tcPr>
            <w:tcW w:w="1063" w:type="dxa"/>
            <w:shd w:val="clear" w:color="auto" w:fill="D2EAF0" w:themeFill="accent5" w:themeFillTint="3F"/>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1.89</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238"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212"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063" w:type="dxa"/>
            <w:shd w:val="clear" w:color="auto" w:fill="92CDDC" w:themeFill="accent5" w:themeFillTint="99"/>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2.53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eastAsia="zh-CN"/>
              </w:rPr>
              <w:t>技术</w:t>
            </w: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62"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信息技术学院 汇总</w:t>
            </w:r>
          </w:p>
        </w:tc>
        <w:tc>
          <w:tcPr>
            <w:tcW w:w="1238"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596</w:t>
            </w:r>
          </w:p>
        </w:tc>
        <w:tc>
          <w:tcPr>
            <w:tcW w:w="1212"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11</w:t>
            </w:r>
          </w:p>
        </w:tc>
        <w:tc>
          <w:tcPr>
            <w:tcW w:w="1063" w:type="dxa"/>
            <w:shd w:val="clear" w:color="auto" w:fill="92CDDC" w:themeFill="accent5" w:themeFillTint="99"/>
            <w:vAlign w:val="center"/>
          </w:tcPr>
          <w:p>
            <w:pPr>
              <w:jc w:val="right"/>
              <w:rPr>
                <w:rFonts w:hint="eastAsia"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1.85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338"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66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asciiTheme="minorEastAsia" w:hAnsiTheme="minorEastAsia" w:eastAsiaTheme="minorEastAsia"/>
                <w:sz w:val="20"/>
                <w:szCs w:val="20"/>
                <w:lang w:val="ru-RU"/>
              </w:rPr>
            </w:pPr>
          </w:p>
        </w:tc>
        <w:tc>
          <w:tcPr>
            <w:tcW w:w="1238"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4022</w:t>
            </w:r>
          </w:p>
        </w:tc>
        <w:tc>
          <w:tcPr>
            <w:tcW w:w="1212"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68</w:t>
            </w:r>
          </w:p>
        </w:tc>
        <w:tc>
          <w:tcPr>
            <w:tcW w:w="1063"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sz w:val="20"/>
                <w:szCs w:val="20"/>
                <w:lang w:val="en-US" w:eastAsia="zh-CN"/>
              </w:rPr>
              <w:t>1.69</w:t>
            </w:r>
          </w:p>
        </w:tc>
      </w:tr>
    </w:tbl>
    <w:p>
      <w:pPr>
        <w:rPr>
          <w:rFonts w:hint="eastAsia"/>
          <w:lang w:val="en-US" w:eastAsia="zh-CN"/>
        </w:rPr>
      </w:pPr>
    </w:p>
    <w:p>
      <w:pPr>
        <w:numPr>
          <w:ilvl w:val="0"/>
          <w:numId w:val="0"/>
        </w:numPr>
        <w:ind w:leftChars="0"/>
        <w:jc w:val="left"/>
        <w:rPr>
          <w:rFonts w:hint="eastAsia"/>
          <w:sz w:val="28"/>
          <w:szCs w:val="28"/>
          <w:highlight w:val="none"/>
          <w:lang w:val="en-US" w:eastAsia="zh-CN"/>
        </w:rPr>
      </w:pPr>
      <w:r>
        <w:rPr>
          <w:rFonts w:hint="eastAsia"/>
          <w:sz w:val="28"/>
          <w:szCs w:val="28"/>
          <w:highlight w:val="none"/>
          <w:lang w:val="en-US" w:eastAsia="zh-CN"/>
        </w:rPr>
        <w:t>二、自主创业</w:t>
      </w:r>
      <w:r>
        <w:rPr>
          <w:rFonts w:hint="eastAsia"/>
          <w:sz w:val="28"/>
          <w:szCs w:val="28"/>
          <w:lang w:val="en-US" w:eastAsia="zh-CN"/>
        </w:rPr>
        <w:t>评价与反馈</w:t>
      </w:r>
    </w:p>
    <w:p>
      <w:pPr>
        <w:numPr>
          <w:ilvl w:val="0"/>
          <w:numId w:val="0"/>
        </w:numPr>
        <w:ind w:leftChars="0"/>
        <w:jc w:val="left"/>
        <w:rPr>
          <w:rFonts w:hint="eastAsia"/>
          <w:sz w:val="28"/>
          <w:szCs w:val="28"/>
          <w:highlight w:val="none"/>
          <w:lang w:val="en-US" w:eastAsia="zh-CN"/>
        </w:rPr>
      </w:pPr>
      <w:r>
        <w:rPr>
          <w:rFonts w:hint="eastAsia"/>
          <w:sz w:val="28"/>
          <w:szCs w:val="28"/>
          <w:highlight w:val="none"/>
          <w:lang w:val="en-US" w:eastAsia="zh-CN"/>
        </w:rPr>
        <w:t>（一）毕业生创业行业分布</w:t>
      </w:r>
    </w:p>
    <w:p>
      <w:pPr>
        <w:numPr>
          <w:ilvl w:val="0"/>
          <w:numId w:val="0"/>
        </w:numPr>
        <w:ind w:leftChars="0" w:firstLine="560"/>
        <w:jc w:val="left"/>
        <w:rPr>
          <w:rFonts w:hint="default"/>
          <w:sz w:val="28"/>
          <w:szCs w:val="28"/>
          <w:lang w:val="en-US" w:eastAsia="zh-CN"/>
        </w:rPr>
      </w:pPr>
      <w:r>
        <w:rPr>
          <w:rFonts w:hint="eastAsia"/>
          <w:sz w:val="28"/>
          <w:szCs w:val="28"/>
          <w:lang w:val="en-US" w:eastAsia="zh-CN"/>
        </w:rPr>
        <w:t>毕业生创业行业主要分布在“批发和零售业”，人数16人，占比23.53%；其次是“住宿和餐饮业”，人数11人，占比16.18%；“信息传输、软件和信息技术服务业”，人数9人，占比13.24%。</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ru-RU"/>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highlight w:val="none"/>
          <w:lang w:val="en-US" w:eastAsia="zh-CN"/>
        </w:rPr>
        <w:t>5</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2</w:t>
      </w:r>
      <w:r>
        <w:rPr>
          <w:rFonts w:hint="eastAsia" w:asciiTheme="minorEastAsia" w:hAnsiTheme="minorEastAsia" w:eastAsiaTheme="minorEastAsia"/>
          <w:sz w:val="20"/>
          <w:szCs w:val="20"/>
          <w:lang w:val="en-US" w:eastAsia="zh-CN"/>
        </w:rPr>
        <w:t xml:space="preserve">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2023届毕业生创业行业情况</w:t>
      </w:r>
    </w:p>
    <w:p>
      <w:pPr>
        <w:jc w:val="right"/>
        <w:rPr>
          <w:rFonts w:hint="eastAsia" w:asciiTheme="minorEastAsia" w:hAnsiTheme="minorEastAsia" w:eastAsiaTheme="minorEastAsia"/>
          <w:sz w:val="20"/>
          <w:szCs w:val="20"/>
          <w:lang w:val="ru-RU" w:eastAsia="zh-CN"/>
        </w:rPr>
      </w:pPr>
      <w:r>
        <w:rPr>
          <w:rFonts w:hint="eastAsia" w:asciiTheme="minorEastAsia" w:hAnsiTheme="minorEastAsia" w:eastAsiaTheme="minorEastAsia"/>
          <w:sz w:val="20"/>
          <w:szCs w:val="20"/>
          <w:lang w:val="ru-RU"/>
        </w:rPr>
        <w:t>单位：人数（人）、比例（%）</w:t>
      </w:r>
      <w:r>
        <w:rPr>
          <w:rFonts w:hint="eastAsia" w:asciiTheme="minorEastAsia" w:hAnsiTheme="minorEastAsia" w:eastAsiaTheme="minorEastAsia"/>
          <w:sz w:val="20"/>
          <w:szCs w:val="20"/>
          <w:lang w:val="ru-RU" w:eastAsia="zh-CN"/>
        </w:rPr>
        <w:t>、</w:t>
      </w:r>
    </w:p>
    <w:tbl>
      <w:tblPr>
        <w:tblStyle w:val="14"/>
        <w:tblW w:w="0" w:type="auto"/>
        <w:tblInd w:w="292"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3549"/>
        <w:gridCol w:w="1926"/>
        <w:gridCol w:w="2550"/>
      </w:tblGrid>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sz w:val="20"/>
                <w:szCs w:val="20"/>
                <w:lang w:val="en-US" w:eastAsia="zh-CN"/>
              </w:rPr>
              <w:t>单位行业</w:t>
            </w:r>
          </w:p>
        </w:tc>
        <w:tc>
          <w:tcPr>
            <w:tcW w:w="1926"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sz w:val="20"/>
                <w:szCs w:val="20"/>
                <w:lang w:val="en-US" w:eastAsia="zh-CN"/>
              </w:rPr>
              <w:t>创业人数</w:t>
            </w:r>
          </w:p>
        </w:tc>
        <w:tc>
          <w:tcPr>
            <w:tcW w:w="2550" w:type="dxa"/>
            <w:tcBorders>
              <w:top w:val="single" w:color="4BACC6" w:themeColor="accent5" w:sz="8" w:space="0"/>
              <w:bottom w:val="single" w:color="4BACC6" w:themeColor="accent5" w:sz="18" w:space="0"/>
              <w:right w:val="single" w:color="4BACC6" w:themeColor="accent5" w:sz="8" w:space="0"/>
              <w:insideH w:val="single" w:sz="18" w:space="0"/>
              <w:insideV w:val="single" w:sz="8" w:space="0"/>
            </w:tcBorders>
            <w:shd w:val="clear" w:color="auto" w:fill="4BACC6"/>
            <w:vAlign w:val="top"/>
          </w:tcPr>
          <w:p>
            <w:pPr>
              <w:spacing w:before="0" w:after="0" w:line="240" w:lineRule="auto"/>
              <w:jc w:val="center"/>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sz w:val="20"/>
                <w:szCs w:val="20"/>
                <w:lang w:val="en-US" w:eastAsia="zh-CN"/>
              </w:rPr>
              <w:t>比例</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批发和零售业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kern w:val="2"/>
                <w:sz w:val="20"/>
                <w:szCs w:val="20"/>
                <w:lang w:val="en-US" w:eastAsia="zh-CN" w:bidi="ar-SA"/>
              </w:rPr>
              <w:t>16</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23.53</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住宿和餐饮业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kern w:val="2"/>
                <w:sz w:val="20"/>
                <w:szCs w:val="20"/>
                <w:lang w:val="en-US" w:eastAsia="zh-CN" w:bidi="ar-SA"/>
              </w:rPr>
              <w:t>11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16.18</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92" w:hRule="atLeast"/>
        </w:trPr>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kern w:val="2"/>
                <w:sz w:val="20"/>
                <w:szCs w:val="20"/>
                <w:lang w:val="en-US" w:eastAsia="zh-CN" w:bidi="ar-SA"/>
              </w:rPr>
              <w:t>信息传输、软件和信息技术服务业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kern w:val="2"/>
                <w:sz w:val="20"/>
                <w:szCs w:val="20"/>
                <w:lang w:val="en-US" w:eastAsia="zh-CN" w:bidi="ar-SA"/>
              </w:rPr>
              <w:t>9</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13.24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居民服务、修理和其他服务业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ru-RU" w:eastAsia="zh-CN" w:bidi="ar-SA"/>
              </w:rPr>
            </w:pPr>
            <w:r>
              <w:rPr>
                <w:rFonts w:hint="eastAsia" w:asciiTheme="minorEastAsia" w:hAnsiTheme="minorEastAsia" w:eastAsiaTheme="minorEastAsia" w:cstheme="majorBidi"/>
                <w:b w:val="0"/>
                <w:bCs/>
                <w:kern w:val="2"/>
                <w:sz w:val="20"/>
                <w:szCs w:val="20"/>
                <w:lang w:val="en-US" w:eastAsia="zh-CN" w:bidi="ar-SA"/>
              </w:rPr>
              <w:t>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default"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11.76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农、林、牧、渔业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11.76</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文化、体育和娱乐业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5</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7.35</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租赁和商务服务业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3</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4.41</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建筑业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2.94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交通运输、仓储和邮政业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2</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2.94</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公共管理、社会保障和社会组织</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1.47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教育</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1.47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水利、环境和公共设施管理业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1.47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制造业</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vAlign w:val="center"/>
          </w:tcPr>
          <w:p>
            <w:pPr>
              <w:keepNext w:val="0"/>
              <w:keepLines w:val="0"/>
              <w:widowControl/>
              <w:suppressLineNumbers w:val="0"/>
              <w:jc w:val="center"/>
              <w:textAlignment w:val="top"/>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val="0"/>
                <w:bCs/>
                <w:kern w:val="2"/>
                <w:sz w:val="20"/>
                <w:szCs w:val="20"/>
                <w:lang w:val="en-US" w:eastAsia="zh-CN" w:bidi="ar-SA"/>
              </w:rPr>
              <w:t>1.47</w:t>
            </w:r>
          </w:p>
        </w:tc>
      </w:tr>
      <w:tr>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c>
          <w:tcPr>
            <w:tcW w:w="354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top"/>
          </w:tcPr>
          <w:p>
            <w:pPr>
              <w:jc w:val="center"/>
              <w:rPr>
                <w:rFonts w:hint="eastAsia" w:asciiTheme="minorEastAsia" w:hAnsiTheme="minorEastAsia" w:eastAsiaTheme="minorEastAsia" w:cstheme="majorBidi"/>
                <w:b w:val="0"/>
                <w:bCs/>
                <w:kern w:val="2"/>
                <w:sz w:val="20"/>
                <w:szCs w:val="20"/>
                <w:lang w:val="en-US" w:eastAsia="zh-CN" w:bidi="ar-SA"/>
              </w:rPr>
            </w:pPr>
            <w:r>
              <w:rPr>
                <w:rFonts w:hint="eastAsia" w:asciiTheme="minorEastAsia" w:hAnsiTheme="minorEastAsia" w:eastAsiaTheme="minorEastAsia" w:cstheme="majorBidi"/>
                <w:b/>
                <w:bCs w:val="0"/>
                <w:sz w:val="20"/>
                <w:szCs w:val="20"/>
                <w:lang w:val="en-US" w:eastAsia="zh-CN"/>
              </w:rPr>
              <w:t>总计</w:t>
            </w:r>
          </w:p>
        </w:tc>
        <w:tc>
          <w:tcPr>
            <w:tcW w:w="1926"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top"/>
          </w:tcPr>
          <w:p>
            <w:pPr>
              <w:jc w:val="center"/>
              <w:rPr>
                <w:rFonts w:hint="default" w:cs="Times New Roman" w:asciiTheme="minorEastAsia" w:hAnsiTheme="minorEastAsia" w:eastAsiaTheme="minorEastAsia"/>
                <w:b/>
                <w:bCs/>
                <w:kern w:val="2"/>
                <w:sz w:val="20"/>
                <w:szCs w:val="20"/>
                <w:lang w:val="en-US" w:eastAsia="zh-CN" w:bidi="ar-SA"/>
              </w:rPr>
            </w:pPr>
            <w:r>
              <w:rPr>
                <w:rFonts w:hint="eastAsia" w:cs="Times New Roman" w:asciiTheme="minorEastAsia" w:hAnsiTheme="minorEastAsia" w:eastAsiaTheme="minorEastAsia"/>
                <w:b/>
                <w:bCs/>
                <w:kern w:val="2"/>
                <w:sz w:val="20"/>
                <w:szCs w:val="20"/>
                <w:lang w:val="en-US" w:eastAsia="zh-CN" w:bidi="ar-SA"/>
              </w:rPr>
              <w:t>68</w:t>
            </w:r>
          </w:p>
        </w:tc>
        <w:tc>
          <w:tcPr>
            <w:tcW w:w="2550"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FFFFFF"/>
            <w:vAlign w:val="top"/>
          </w:tcPr>
          <w:p>
            <w:pPr>
              <w:jc w:val="center"/>
              <w:rPr>
                <w:rFonts w:hint="eastAsia" w:cs="Times New Roman" w:asciiTheme="minorEastAsia" w:hAnsiTheme="minorEastAsia" w:eastAsiaTheme="minorEastAsia"/>
                <w:b/>
                <w:bCs/>
                <w:kern w:val="2"/>
                <w:sz w:val="20"/>
                <w:szCs w:val="20"/>
                <w:highlight w:val="none"/>
                <w:lang w:val="en-US" w:eastAsia="zh-CN" w:bidi="ar-SA"/>
              </w:rPr>
            </w:pPr>
            <w:r>
              <w:rPr>
                <w:rFonts w:hint="eastAsia" w:asciiTheme="minorEastAsia" w:hAnsiTheme="minorEastAsia" w:eastAsiaTheme="minorEastAsia"/>
                <w:b/>
                <w:bCs/>
                <w:sz w:val="20"/>
                <w:szCs w:val="20"/>
                <w:highlight w:val="none"/>
                <w:lang w:val="en-US" w:eastAsia="zh-CN"/>
              </w:rPr>
              <w:t>100.00</w:t>
            </w:r>
          </w:p>
        </w:tc>
      </w:tr>
    </w:tbl>
    <w:p>
      <w:pPr>
        <w:numPr>
          <w:ilvl w:val="0"/>
          <w:numId w:val="0"/>
        </w:numPr>
        <w:ind w:leftChars="0"/>
        <w:jc w:val="left"/>
        <w:rPr>
          <w:rFonts w:hint="eastAsia"/>
          <w:sz w:val="28"/>
          <w:szCs w:val="28"/>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（二）毕业生创业的原因分析</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调研数据显示，2023届毕业生自主创业的首要原因是“实现个人理想及价值”，占比56.94%；其次有30.56%的毕业生是因为“预期可能有更高收入”，有16.67%的毕业生是因为“有好的创业项目”。此外，因为“受他人邀请创业”、“未找到合适的工作”原因而创业的毕业生分别占比13.89%、11.11%。这表明，当前大学毕业生创业的首要原因是实现理想。</w:t>
      </w:r>
    </w:p>
    <w:p>
      <w:pPr>
        <w:numPr>
          <w:ilvl w:val="0"/>
          <w:numId w:val="0"/>
        </w:numPr>
        <w:ind w:leftChars="0" w:firstLine="560"/>
        <w:jc w:val="left"/>
        <w:rPr>
          <w:rFonts w:hint="eastAsia"/>
          <w:sz w:val="28"/>
          <w:szCs w:val="28"/>
          <w:lang w:val="en-US" w:eastAsia="zh-CN"/>
        </w:rPr>
      </w:pPr>
      <w:r>
        <w:rPr>
          <w:rFonts w:hint="eastAsia"/>
          <w:sz w:val="28"/>
          <w:szCs w:val="28"/>
          <w:lang w:val="en-US" w:eastAsia="zh-CN"/>
        </w:rPr>
        <w:drawing>
          <wp:inline distT="0" distB="0" distL="114300" distR="114300">
            <wp:extent cx="5247005" cy="1864360"/>
            <wp:effectExtent l="4445" t="4445" r="6350" b="17145"/>
            <wp:docPr id="76" name="图表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2023届毕业生自主创业的原因</w:t>
      </w:r>
    </w:p>
    <w:p>
      <w:pPr>
        <w:pStyle w:val="6"/>
        <w:rPr>
          <w:rFonts w:hint="eastAsia"/>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（三）毕业生创业类型</w:t>
      </w:r>
    </w:p>
    <w:p>
      <w:pPr>
        <w:numPr>
          <w:ilvl w:val="0"/>
          <w:numId w:val="0"/>
        </w:numPr>
        <w:ind w:leftChars="0"/>
        <w:jc w:val="left"/>
        <w:rPr>
          <w:rFonts w:hint="eastAsia"/>
          <w:sz w:val="28"/>
          <w:szCs w:val="28"/>
          <w:lang w:val="en-US" w:eastAsia="zh-CN"/>
        </w:rPr>
      </w:pPr>
      <w:r>
        <w:rPr>
          <w:rFonts w:hint="eastAsia"/>
          <w:sz w:val="28"/>
          <w:szCs w:val="28"/>
          <w:lang w:val="en-US" w:eastAsia="zh-CN"/>
        </w:rPr>
        <w:t xml:space="preserve">    调研数据显示，2023届毕业生创业的主要方式是“个人独立创业”（45.83%）和“与人合伙创业（参与项目团队创业）”（29.17%）；创业的主要类型是“在独立的场地创立公司（含个体工商户）”（36.11%）和“其他”（36.11%）。</w:t>
      </w:r>
    </w:p>
    <w:p>
      <w:pPr>
        <w:numPr>
          <w:ilvl w:val="0"/>
          <w:numId w:val="0"/>
        </w:numPr>
        <w:ind w:leftChars="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2254885" cy="2381250"/>
            <wp:effectExtent l="4445" t="4445" r="7620" b="14605"/>
            <wp:docPr id="42"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rFonts w:hint="default"/>
          <w:sz w:val="28"/>
          <w:szCs w:val="28"/>
          <w:lang w:val="en-US" w:eastAsia="zh-CN"/>
        </w:rPr>
        <w:drawing>
          <wp:inline distT="0" distB="0" distL="114300" distR="114300">
            <wp:extent cx="2843530" cy="2389505"/>
            <wp:effectExtent l="4445" t="4445" r="9525" b="6350"/>
            <wp:docPr id="46" name="图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2023届毕业生自主创业的方式和类型</w:t>
      </w:r>
    </w:p>
    <w:p>
      <w:pPr>
        <w:pStyle w:val="6"/>
        <w:rPr>
          <w:rFonts w:hint="eastAsia"/>
          <w:lang w:val="ru-RU"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（四）毕业生创业资金来源</w:t>
      </w:r>
    </w:p>
    <w:p>
      <w:pPr>
        <w:numPr>
          <w:ilvl w:val="0"/>
          <w:numId w:val="0"/>
        </w:numPr>
        <w:ind w:leftChars="0" w:firstLine="560"/>
        <w:jc w:val="left"/>
        <w:rPr>
          <w:rFonts w:hint="eastAsia" w:ascii="宋体" w:hAnsi="宋体" w:cs="宋体"/>
          <w:sz w:val="24"/>
          <w:szCs w:val="24"/>
          <w:lang w:val="en-US" w:eastAsia="zh-CN"/>
        </w:rPr>
      </w:pPr>
      <w:r>
        <w:rPr>
          <w:rFonts w:hint="eastAsia"/>
          <w:sz w:val="28"/>
          <w:szCs w:val="28"/>
          <w:lang w:val="en-US" w:eastAsia="zh-CN"/>
        </w:rPr>
        <w:t>调研数据显示，毕业生创业资金主要来源于“个人积累”，占比48.61%。排在第二、三位的分别是“父母资助”（23.61%）、“其他”（15.28%）。</w:t>
      </w:r>
      <w:r>
        <w:rPr>
          <w:rFonts w:hint="eastAsia" w:ascii="宋体" w:hAnsi="宋体" w:cs="宋体"/>
          <w:sz w:val="24"/>
          <w:szCs w:val="24"/>
          <w:lang w:val="en-US" w:eastAsia="zh-CN"/>
        </w:rPr>
        <w:t xml:space="preserve">            </w:t>
      </w:r>
    </w:p>
    <w:p>
      <w:pPr>
        <w:numPr>
          <w:ilvl w:val="0"/>
          <w:numId w:val="0"/>
        </w:numPr>
        <w:ind w:leftChars="0" w:firstLine="560"/>
        <w:jc w:val="left"/>
        <w:rPr>
          <w:rFonts w:hint="eastAsia" w:eastAsia="宋体"/>
          <w:sz w:val="28"/>
          <w:szCs w:val="28"/>
          <w:lang w:val="ru-RU" w:eastAsia="zh-CN"/>
        </w:rPr>
      </w:pPr>
      <w:r>
        <w:rPr>
          <w:rFonts w:hint="eastAsia" w:eastAsia="宋体"/>
          <w:sz w:val="28"/>
          <w:szCs w:val="28"/>
          <w:lang w:val="ru-RU" w:eastAsia="zh-CN"/>
        </w:rPr>
        <w:drawing>
          <wp:inline distT="0" distB="0" distL="114300" distR="114300">
            <wp:extent cx="4923790" cy="2235835"/>
            <wp:effectExtent l="4445" t="4445" r="5715" b="762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  2023届毕业生自主创业资金来源</w:t>
      </w:r>
    </w:p>
    <w:p>
      <w:pPr>
        <w:pStyle w:val="6"/>
        <w:rPr>
          <w:rFonts w:hint="eastAsia"/>
          <w:lang w:val="ru-RU"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（五）毕业生创业支持情况</w:t>
      </w:r>
    </w:p>
    <w:p>
      <w:pPr>
        <w:ind w:firstLine="560"/>
        <w:jc w:val="left"/>
        <w:rPr>
          <w:rFonts w:hint="eastAsia" w:asciiTheme="minorEastAsia" w:hAnsiTheme="minorEastAsia" w:eastAsiaTheme="minorEastAsia"/>
          <w:sz w:val="20"/>
          <w:szCs w:val="20"/>
          <w:lang w:val="en-US" w:eastAsia="zh-CN"/>
        </w:rPr>
      </w:pPr>
      <w:r>
        <w:rPr>
          <w:rFonts w:hint="eastAsia"/>
          <w:sz w:val="28"/>
          <w:szCs w:val="28"/>
          <w:lang w:val="en-US" w:eastAsia="zh-CN"/>
        </w:rPr>
        <w:t>调研数据显示，毕业生家庭对毕业生创业的支持度达到95.83%，其中表示“非常支持”的占到34.72%。</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4  2023届毕业生家庭对其创业的态度</w:t>
      </w:r>
    </w:p>
    <w:p>
      <w:pPr>
        <w:ind w:firstLine="56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548505" cy="2801620"/>
            <wp:effectExtent l="4445" t="4445" r="19050" b="13335"/>
            <wp:docPr id="60" name="图表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注：创业支持度=非常支持+比较支持+中立，不反对</w:t>
      </w:r>
    </w:p>
    <w:p>
      <w:pPr>
        <w:pStyle w:val="6"/>
        <w:rPr>
          <w:rFonts w:hint="eastAsia"/>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（六）毕业生创业准备</w:t>
      </w:r>
    </w:p>
    <w:p>
      <w:pPr>
        <w:ind w:firstLine="560" w:firstLineChars="200"/>
        <w:jc w:val="left"/>
        <w:rPr>
          <w:rFonts w:hint="eastAsia"/>
          <w:sz w:val="28"/>
          <w:szCs w:val="28"/>
          <w:lang w:val="en-US" w:eastAsia="zh-CN"/>
        </w:rPr>
      </w:pPr>
      <w:r>
        <w:rPr>
          <w:rFonts w:hint="eastAsia"/>
          <w:sz w:val="28"/>
          <w:szCs w:val="28"/>
          <w:lang w:val="en-US" w:eastAsia="zh-CN"/>
        </w:rPr>
        <w:t>调研数据显示，2023届毕业生创业前做的准备工作主要是“在社会实践中积累经验”（56.94%）、“向成功创业者学习”（47.22%）、“多和朋友沟通，整合身边资源”（36.11%）。</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5  2023届毕业生创业做过的准备（多选题）</w:t>
      </w:r>
    </w:p>
    <w:p>
      <w:pPr>
        <w:ind w:firstLine="560" w:firstLineChars="200"/>
        <w:jc w:val="left"/>
        <w:rPr>
          <w:rFonts w:hint="eastAsia"/>
          <w:sz w:val="28"/>
          <w:szCs w:val="28"/>
          <w:lang w:val="en-US" w:eastAsia="zh-CN"/>
        </w:rPr>
      </w:pPr>
      <w:r>
        <w:rPr>
          <w:rFonts w:hint="eastAsia"/>
          <w:sz w:val="28"/>
          <w:szCs w:val="28"/>
          <w:lang w:val="en-US" w:eastAsia="zh-CN"/>
        </w:rPr>
        <w:drawing>
          <wp:inline distT="0" distB="0" distL="114300" distR="114300">
            <wp:extent cx="5008880" cy="2338705"/>
            <wp:effectExtent l="4445" t="4445" r="15875" b="19050"/>
            <wp:docPr id="65" name="图表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pPr>
        <w:pStyle w:val="6"/>
        <w:rPr>
          <w:rFonts w:hint="eastAsia"/>
          <w:lang w:val="en-US" w:eastAsia="zh-CN"/>
        </w:rPr>
      </w:pPr>
    </w:p>
    <w:p>
      <w:pPr>
        <w:numPr>
          <w:ilvl w:val="0"/>
          <w:numId w:val="0"/>
        </w:numPr>
        <w:ind w:leftChars="0"/>
        <w:jc w:val="left"/>
        <w:rPr>
          <w:rFonts w:hint="default"/>
          <w:sz w:val="28"/>
          <w:szCs w:val="28"/>
          <w:lang w:val="en-US" w:eastAsia="zh-CN"/>
        </w:rPr>
      </w:pPr>
      <w:r>
        <w:rPr>
          <w:rFonts w:hint="eastAsia"/>
          <w:sz w:val="28"/>
          <w:szCs w:val="28"/>
          <w:lang w:val="en-US" w:eastAsia="zh-CN"/>
        </w:rPr>
        <w:t>（七）毕业生创业主要困难</w:t>
      </w:r>
    </w:p>
    <w:p>
      <w:pPr>
        <w:ind w:firstLine="560" w:firstLineChars="200"/>
        <w:jc w:val="left"/>
        <w:rPr>
          <w:rFonts w:hint="eastAsia"/>
          <w:sz w:val="28"/>
          <w:szCs w:val="28"/>
          <w:lang w:val="en-US" w:eastAsia="zh-CN"/>
        </w:rPr>
      </w:pPr>
      <w:r>
        <w:rPr>
          <w:rFonts w:hint="eastAsia"/>
          <w:sz w:val="28"/>
          <w:szCs w:val="28"/>
          <w:lang w:val="en-US" w:eastAsia="zh-CN"/>
        </w:rPr>
        <w:t>调研数据显示，大学生创业过程中遇到的困难主要有“资金筹备”（44.44%）、“市场推广”（22.22%）和“其他”（22.22%）。</w:t>
      </w:r>
    </w:p>
    <w:p>
      <w:pPr>
        <w:ind w:firstLine="400" w:firstLineChars="200"/>
        <w:jc w:val="center"/>
        <w:rPr>
          <w:rFonts w:hint="eastAsia"/>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6  2023届毕业生创业中遇到的困难（多选题）</w:t>
      </w:r>
    </w:p>
    <w:p>
      <w:pPr>
        <w:ind w:firstLine="560" w:firstLineChars="200"/>
        <w:jc w:val="left"/>
        <w:rPr>
          <w:rFonts w:hint="default"/>
          <w:sz w:val="28"/>
          <w:szCs w:val="28"/>
          <w:lang w:val="en-US" w:eastAsia="zh-CN"/>
        </w:rPr>
      </w:pPr>
      <w:r>
        <w:rPr>
          <w:rFonts w:hint="default"/>
          <w:sz w:val="28"/>
          <w:szCs w:val="28"/>
          <w:lang w:val="en-US" w:eastAsia="zh-CN"/>
        </w:rPr>
        <w:drawing>
          <wp:inline distT="0" distB="0" distL="114300" distR="114300">
            <wp:extent cx="5932170" cy="2508250"/>
            <wp:effectExtent l="4445" t="4445" r="6985" b="20955"/>
            <wp:docPr id="80" name="图表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pPr>
        <w:pStyle w:val="6"/>
        <w:rPr>
          <w:rFonts w:hint="default"/>
          <w:lang w:val="en-US" w:eastAsia="zh-CN"/>
        </w:rPr>
      </w:pPr>
    </w:p>
    <w:p>
      <w:pPr>
        <w:numPr>
          <w:ilvl w:val="0"/>
          <w:numId w:val="0"/>
        </w:numPr>
        <w:jc w:val="left"/>
        <w:rPr>
          <w:rFonts w:hint="eastAsia"/>
          <w:sz w:val="28"/>
          <w:szCs w:val="28"/>
          <w:highlight w:val="none"/>
          <w:lang w:val="en-US" w:eastAsia="zh-CN"/>
        </w:rPr>
      </w:pPr>
      <w:r>
        <w:rPr>
          <w:rFonts w:hint="eastAsia"/>
          <w:sz w:val="28"/>
          <w:szCs w:val="28"/>
          <w:highlight w:val="none"/>
          <w:lang w:val="en-US" w:eastAsia="zh-CN"/>
        </w:rPr>
        <w:t>（八）疫情常态化对创业的影响</w:t>
      </w:r>
    </w:p>
    <w:p>
      <w:pPr>
        <w:numPr>
          <w:ilvl w:val="0"/>
          <w:numId w:val="0"/>
        </w:numPr>
        <w:ind w:firstLine="560" w:firstLineChars="200"/>
        <w:jc w:val="left"/>
        <w:rPr>
          <w:rFonts w:hint="default"/>
          <w:lang w:val="en-US" w:eastAsia="zh-CN"/>
        </w:rPr>
      </w:pPr>
      <w:r>
        <w:rPr>
          <w:rFonts w:hint="eastAsia"/>
          <w:sz w:val="28"/>
          <w:szCs w:val="28"/>
          <w:lang w:val="en-US" w:eastAsia="zh-CN"/>
        </w:rPr>
        <w:t>调研数据显示，91.30%的毕业生认为疫情常态化对其创业有影响。</w:t>
      </w:r>
    </w:p>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7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 xml:space="preserve">疫情常态化对2023届毕业生创业的影响  </w:t>
      </w:r>
      <w:r>
        <w:rPr>
          <w:rFonts w:hint="eastAsia" w:asciiTheme="minorEastAsia" w:hAnsiTheme="minorEastAsia" w:eastAsiaTheme="minorEastAsia"/>
          <w:sz w:val="20"/>
          <w:szCs w:val="20"/>
          <w:lang w:val="en-US" w:eastAsia="zh-CN"/>
        </w:rPr>
        <w:drawing>
          <wp:inline distT="0" distB="0" distL="114300" distR="114300">
            <wp:extent cx="3296285" cy="2360295"/>
            <wp:effectExtent l="4445" t="4445" r="13970" b="1651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pPr>
        <w:pStyle w:val="6"/>
        <w:rPr>
          <w:rFonts w:hint="eastAsia"/>
          <w:lang w:val="en-US" w:eastAsia="zh-CN"/>
        </w:rPr>
      </w:pPr>
    </w:p>
    <w:p>
      <w:pPr>
        <w:numPr>
          <w:ilvl w:val="0"/>
          <w:numId w:val="0"/>
        </w:numPr>
        <w:jc w:val="left"/>
        <w:rPr>
          <w:rFonts w:hint="eastAsia"/>
          <w:sz w:val="28"/>
          <w:szCs w:val="28"/>
          <w:lang w:val="en-US" w:eastAsia="zh-CN"/>
        </w:rPr>
      </w:pPr>
      <w:r>
        <w:rPr>
          <w:rFonts w:hint="eastAsia"/>
          <w:sz w:val="28"/>
          <w:szCs w:val="28"/>
          <w:lang w:val="en-US" w:eastAsia="zh-CN"/>
        </w:rPr>
        <w:t>（九）毕业生创业能力</w:t>
      </w:r>
    </w:p>
    <w:p>
      <w:pPr>
        <w:numPr>
          <w:ilvl w:val="0"/>
          <w:numId w:val="0"/>
        </w:numPr>
        <w:ind w:firstLine="560"/>
        <w:jc w:val="left"/>
        <w:rPr>
          <w:rFonts w:hint="eastAsia"/>
          <w:sz w:val="28"/>
          <w:szCs w:val="28"/>
          <w:lang w:val="en-US" w:eastAsia="zh-CN"/>
        </w:rPr>
      </w:pPr>
      <w:r>
        <w:rPr>
          <w:rFonts w:hint="eastAsia"/>
          <w:sz w:val="28"/>
          <w:szCs w:val="28"/>
          <w:lang w:val="en-US" w:eastAsia="zh-CN"/>
        </w:rPr>
        <w:t>调研数据显示，毕业生认为创业应具备的主要能力有“专业基础知识”（43.06%）、“持续学习能力”（33.33%）、“沟通协调与处理社会关系能力”（33.33%）。</w:t>
      </w:r>
    </w:p>
    <w:p>
      <w:pPr>
        <w:numPr>
          <w:ilvl w:val="0"/>
          <w:numId w:val="0"/>
        </w:numPr>
        <w:jc w:val="left"/>
        <w:rPr>
          <w:rFonts w:hint="default"/>
          <w:sz w:val="28"/>
          <w:szCs w:val="28"/>
          <w:lang w:val="en-US" w:eastAsia="zh-CN"/>
        </w:rPr>
      </w:pPr>
      <w:r>
        <w:rPr>
          <w:rFonts w:hint="default"/>
          <w:sz w:val="28"/>
          <w:szCs w:val="28"/>
          <w:lang w:val="en-US" w:eastAsia="zh-CN"/>
        </w:rPr>
        <w:drawing>
          <wp:inline distT="0" distB="0" distL="114300" distR="114300">
            <wp:extent cx="5554345" cy="2606040"/>
            <wp:effectExtent l="4445" t="4445" r="22860" b="18415"/>
            <wp:docPr id="82" name="图表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5</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8  2023届毕业生创业应具备的能力（多选题）</w:t>
      </w:r>
    </w:p>
    <w:p>
      <w:pPr>
        <w:pStyle w:val="6"/>
        <w:rPr>
          <w:rFonts w:hint="eastAsia"/>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（十）毕业生希望学校加强的创业相关服务</w:t>
      </w:r>
    </w:p>
    <w:p>
      <w:pPr>
        <w:ind w:firstLine="560" w:firstLineChars="200"/>
        <w:jc w:val="left"/>
        <w:rPr>
          <w:rFonts w:hint="eastAsia"/>
          <w:sz w:val="28"/>
          <w:szCs w:val="28"/>
          <w:lang w:val="en-US" w:eastAsia="zh-CN"/>
        </w:rPr>
      </w:pPr>
      <w:r>
        <w:rPr>
          <w:rFonts w:hint="eastAsia"/>
          <w:sz w:val="28"/>
          <w:szCs w:val="28"/>
          <w:lang w:val="en-US" w:eastAsia="zh-CN"/>
        </w:rPr>
        <w:t>调研数据显示，毕业生希望学校加强的创业相关服务主要为“创业相关课程”（40.28%）、“提供资金与平台”（38.89%）、“其他”（22.22%）。</w:t>
      </w:r>
    </w:p>
    <w:p>
      <w:pPr>
        <w:pStyle w:val="10"/>
        <w:ind w:left="0" w:leftChars="0" w:firstLine="0" w:firstLineChars="0"/>
        <w:rPr>
          <w:rFonts w:hint="default"/>
          <w:sz w:val="28"/>
          <w:szCs w:val="28"/>
          <w:lang w:val="en-US" w:eastAsia="zh-CN"/>
        </w:rPr>
      </w:pPr>
      <w:r>
        <w:rPr>
          <w:rFonts w:hint="default"/>
          <w:sz w:val="28"/>
          <w:szCs w:val="28"/>
          <w:lang w:val="en-US" w:eastAsia="zh-CN"/>
        </w:rPr>
        <w:drawing>
          <wp:inline distT="0" distB="0" distL="114300" distR="114300">
            <wp:extent cx="5554345" cy="2606040"/>
            <wp:effectExtent l="4445" t="4445" r="22860" b="1841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pPr>
        <w:ind w:firstLine="400" w:firstLineChars="200"/>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图</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5</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9  2023届毕业生希望学校加强的创业相关服务（多选题）</w:t>
      </w:r>
    </w:p>
    <w:p>
      <w:pPr>
        <w:pStyle w:val="6"/>
        <w:rPr>
          <w:rFonts w:hint="eastAsia" w:asciiTheme="minorEastAsia" w:hAnsiTheme="minorEastAsia" w:eastAsiaTheme="minorEastAsia"/>
          <w:sz w:val="20"/>
          <w:szCs w:val="20"/>
          <w:highlight w:val="none"/>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jc w:val="both"/>
        <w:rPr>
          <w:rFonts w:hint="eastAsia"/>
          <w:sz w:val="36"/>
          <w:szCs w:val="36"/>
          <w:highlight w:val="none"/>
          <w:lang w:val="en-US" w:eastAsia="zh-CN"/>
        </w:rPr>
      </w:pPr>
    </w:p>
    <w:p>
      <w:pPr>
        <w:jc w:val="center"/>
        <w:rPr>
          <w:rFonts w:hint="eastAsia"/>
          <w:sz w:val="36"/>
          <w:szCs w:val="36"/>
          <w:highlight w:val="none"/>
          <w:lang w:val="en-US" w:eastAsia="zh-CN"/>
        </w:rPr>
      </w:pPr>
      <w:r>
        <w:rPr>
          <w:rFonts w:hint="eastAsia"/>
          <w:sz w:val="36"/>
          <w:szCs w:val="36"/>
          <w:lang w:val="en-US" w:eastAsia="zh-CN"/>
        </w:rPr>
        <w:t>第六章 毕业生自由职业情况</w:t>
      </w:r>
    </w:p>
    <w:p>
      <w:pPr>
        <w:ind w:firstLine="560" w:firstLineChars="200"/>
        <w:jc w:val="left"/>
        <w:rPr>
          <w:rFonts w:hint="eastAsia"/>
          <w:sz w:val="28"/>
          <w:szCs w:val="28"/>
          <w:lang w:val="en-US" w:eastAsia="zh-CN"/>
        </w:rPr>
      </w:pPr>
      <w:r>
        <w:rPr>
          <w:rFonts w:hint="eastAsia"/>
          <w:sz w:val="28"/>
          <w:szCs w:val="28"/>
          <w:lang w:val="en-US" w:eastAsia="zh-CN"/>
        </w:rPr>
        <w:t>2023届毕业生自由职业213人，自由职业率5.30%。</w:t>
      </w:r>
    </w:p>
    <w:p>
      <w:pPr>
        <w:numPr>
          <w:ilvl w:val="0"/>
          <w:numId w:val="0"/>
        </w:numPr>
        <w:jc w:val="left"/>
        <w:rPr>
          <w:rFonts w:hint="eastAsia"/>
          <w:sz w:val="28"/>
          <w:szCs w:val="28"/>
          <w:lang w:val="en-US" w:eastAsia="zh-CN"/>
        </w:rPr>
      </w:pPr>
      <w:r>
        <w:rPr>
          <w:rFonts w:hint="eastAsia"/>
          <w:sz w:val="28"/>
          <w:szCs w:val="28"/>
          <w:lang w:val="en-US" w:eastAsia="zh-CN"/>
        </w:rPr>
        <w:t>一、自由职业情况</w:t>
      </w:r>
    </w:p>
    <w:p>
      <w:pPr>
        <w:numPr>
          <w:ilvl w:val="0"/>
          <w:numId w:val="0"/>
        </w:numPr>
        <w:ind w:firstLine="560"/>
        <w:jc w:val="left"/>
        <w:rPr>
          <w:rFonts w:hint="default"/>
          <w:lang w:val="en-US" w:eastAsia="zh-CN"/>
        </w:rPr>
      </w:pPr>
      <w:r>
        <w:rPr>
          <w:rFonts w:hint="eastAsia"/>
          <w:sz w:val="28"/>
          <w:szCs w:val="28"/>
          <w:lang w:val="en-US" w:eastAsia="zh-CN"/>
        </w:rPr>
        <w:t>2023届毕业生自由职业213人，自由职业率5.30%。</w:t>
      </w:r>
      <w:r>
        <w:rPr>
          <w:rFonts w:hint="eastAsia"/>
          <w:color w:val="auto"/>
          <w:sz w:val="28"/>
          <w:szCs w:val="28"/>
          <w:lang w:val="en-US" w:eastAsia="zh-CN"/>
        </w:rPr>
        <w:t>升学率排名前三的二</w:t>
      </w:r>
      <w:r>
        <w:rPr>
          <w:rFonts w:hint="eastAsia"/>
          <w:sz w:val="28"/>
          <w:szCs w:val="28"/>
          <w:lang w:val="en-US" w:eastAsia="zh-CN"/>
        </w:rPr>
        <w:t>级学院为：财会工商学院（自由职业人数79人，自由职业率10.6%）、生物工程学院（自由职业人数29人，自由职业率7.53%）、汽车与智能制造学院（自由职业人数26人，自由职业率7.3%）。毕业生自由职业率排名前三的专业为：旅游管理（自由职业人数26人，自由职业率22.03%）、文秘（自由职业人数27人，自由职业率16.27%）、动物医学（自由职业人数28人，自由职业率10.53%）。</w:t>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表</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6</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2023届毕业生分专业自由职业情况</w:t>
      </w:r>
    </w:p>
    <w:p>
      <w:pPr>
        <w:jc w:val="right"/>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单位：人数（人）、比例（%）</w:t>
      </w:r>
    </w:p>
    <w:tbl>
      <w:tblPr>
        <w:tblStyle w:val="19"/>
        <w:tblW w:w="8862" w:type="dxa"/>
        <w:tblInd w:w="-232"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autofit"/>
        <w:tblCellMar>
          <w:top w:w="0" w:type="dxa"/>
          <w:left w:w="108" w:type="dxa"/>
          <w:bottom w:w="0" w:type="dxa"/>
          <w:right w:w="108" w:type="dxa"/>
        </w:tblCellMar>
      </w:tblPr>
      <w:tblGrid>
        <w:gridCol w:w="2275"/>
        <w:gridCol w:w="2625"/>
        <w:gridCol w:w="1225"/>
        <w:gridCol w:w="1487"/>
        <w:gridCol w:w="1250"/>
      </w:tblGrid>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eastAsia="zh-CN"/>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二级学院</w:t>
            </w:r>
          </w:p>
        </w:tc>
        <w:tc>
          <w:tcPr>
            <w:tcW w:w="2625"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专业</w:t>
            </w:r>
          </w:p>
        </w:tc>
        <w:tc>
          <w:tcPr>
            <w:tcW w:w="1225"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毕业生人数</w:t>
            </w:r>
          </w:p>
        </w:tc>
        <w:tc>
          <w:tcPr>
            <w:tcW w:w="1487"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自由职业人数</w:t>
            </w:r>
          </w:p>
        </w:tc>
        <w:tc>
          <w:tcPr>
            <w:tcW w:w="1250"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自由职业率</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27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财会工商</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会计</w:t>
            </w:r>
          </w:p>
        </w:tc>
        <w:tc>
          <w:tcPr>
            <w:tcW w:w="12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403</w:t>
            </w:r>
          </w:p>
        </w:tc>
        <w:tc>
          <w:tcPr>
            <w:tcW w:w="1487"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24</w:t>
            </w:r>
          </w:p>
        </w:tc>
        <w:tc>
          <w:tcPr>
            <w:tcW w:w="1250" w:type="dxa"/>
            <w:shd w:val="clear" w:color="auto" w:fill="D2EAF0" w:themeFill="accent5" w:themeFillTint="3F"/>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5.96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eastAsia="zh-CN"/>
              </w:rPr>
              <w:t>文秘</w:t>
            </w:r>
          </w:p>
        </w:tc>
        <w:tc>
          <w:tcPr>
            <w:tcW w:w="12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166</w:t>
            </w:r>
          </w:p>
        </w:tc>
        <w:tc>
          <w:tcPr>
            <w:tcW w:w="1487"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27</w:t>
            </w:r>
          </w:p>
        </w:tc>
        <w:tc>
          <w:tcPr>
            <w:tcW w:w="1250"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16.27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旅游管理</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118</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26</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22.03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金融管理</w:t>
            </w:r>
          </w:p>
        </w:tc>
        <w:tc>
          <w:tcPr>
            <w:tcW w:w="12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58</w:t>
            </w:r>
          </w:p>
        </w:tc>
        <w:tc>
          <w:tcPr>
            <w:tcW w:w="1487"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w:t>
            </w:r>
          </w:p>
        </w:tc>
        <w:tc>
          <w:tcPr>
            <w:tcW w:w="1250"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3.45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bottom w:val="nil"/>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财会工商学院 汇总</w:t>
            </w:r>
          </w:p>
        </w:tc>
        <w:tc>
          <w:tcPr>
            <w:tcW w:w="1225" w:type="dxa"/>
            <w:shd w:val="clear" w:color="auto" w:fill="D2EAF0" w:themeFill="accent5" w:themeFillTint="3F"/>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745</w:t>
            </w:r>
          </w:p>
        </w:tc>
        <w:tc>
          <w:tcPr>
            <w:tcW w:w="1487" w:type="dxa"/>
            <w:shd w:val="clear" w:color="auto" w:fill="D2EAF0" w:themeFill="accent5" w:themeFillTint="3F"/>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79</w:t>
            </w:r>
          </w:p>
        </w:tc>
        <w:tc>
          <w:tcPr>
            <w:tcW w:w="1250" w:type="dxa"/>
            <w:shd w:val="clear" w:color="auto" w:fill="D2EAF0" w:themeFill="accent5" w:themeFillTint="3F"/>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10.60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p>
            <w:pPr>
              <w:jc w:val="center"/>
              <w:rPr>
                <w:rFonts w:cs="Times New Roman" w:asciiTheme="minorEastAsia" w:hAnsiTheme="minorEastAsia" w:eastAsiaTheme="minorEastAsia"/>
                <w:b/>
                <w:bCs/>
                <w:i w:val="0"/>
                <w:iCs w:val="0"/>
                <w:color w:val="FFFFFF" w:themeColor="background1"/>
                <w:kern w:val="2"/>
                <w:sz w:val="20"/>
                <w:szCs w:val="20"/>
                <w:lang w:val="ru-RU"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电梯工程学院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电梯工程技术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252</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16</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6.35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机电一体化技术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221</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4.07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物联网应用技术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36</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2.78</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电梯工程学院 汇总</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509</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26</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5.11</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restart"/>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p>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艺术创意学院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电子商务</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433</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20</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4.62</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服装与服饰设计</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91</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3.30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35" w:hRule="atLeast"/>
        </w:trPr>
        <w:tc>
          <w:tcPr>
            <w:tcW w:w="2275" w:type="dxa"/>
            <w:vMerge w:val="continue"/>
            <w:tcBorders>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ru-RU" w:eastAsia="zh-CN"/>
              </w:rPr>
              <w:t>广告设计与制作</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b/>
                <w:bCs/>
                <w:color w:val="1F497D" w:themeColor="text2"/>
                <w:kern w:val="2"/>
                <w:sz w:val="20"/>
                <w:szCs w:val="20"/>
                <w:lang w:val="en-US" w:eastAsia="zh-CN" w:bidi="ar-SA"/>
                <w14:textFill>
                  <w14:solidFill>
                    <w14:schemeClr w14:val="tx2"/>
                  </w14:solidFill>
                </w14:textFill>
              </w:rPr>
            </w:pPr>
            <w:r>
              <w:rPr>
                <w:rFonts w:hint="eastAsia" w:asciiTheme="minorEastAsia" w:hAnsiTheme="minorEastAsia" w:eastAsiaTheme="minorEastAsia"/>
                <w:sz w:val="20"/>
                <w:szCs w:val="20"/>
                <w:lang w:val="en-US" w:eastAsia="zh-CN"/>
              </w:rPr>
              <w:t>189</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0.53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asciiTheme="minorEastAsia" w:hAnsiTheme="minorEastAsia" w:eastAsiaTheme="minorEastAsia"/>
                <w:sz w:val="20"/>
                <w:szCs w:val="20"/>
                <w:highlight w:val="none"/>
                <w:lang w:val="ru-RU"/>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艺术创意学院 汇总</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asciiTheme="minorEastAsia" w:hAnsiTheme="minorEastAsia" w:eastAsiaTheme="minorEastAsia"/>
                <w:b/>
                <w:bCs/>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713</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sz w:val="20"/>
                <w:szCs w:val="20"/>
                <w:highlight w:val="none"/>
                <w:lang w:val="en-US"/>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24</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3.37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restart"/>
            <w:tcBorders>
              <w:top w:val="single" w:color="FFFFFF" w:themeColor="background1" w:sz="8" w:space="0"/>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生物工程</w:t>
            </w:r>
            <w:r>
              <w:rPr>
                <w:rFonts w:hint="eastAsia" w:asciiTheme="minorEastAsia" w:hAnsiTheme="minorEastAsia" w:eastAsiaTheme="minorEastAsia"/>
                <w:b/>
                <w:bCs/>
                <w:i w:val="0"/>
                <w:iCs w:val="0"/>
                <w:color w:val="FFFFFF" w:themeColor="background1"/>
                <w:sz w:val="20"/>
                <w:szCs w:val="20"/>
                <w:lang w:val="en-US" w:eastAsia="zh-CN"/>
                <w14:textFill>
                  <w14:solidFill>
                    <w14:schemeClr w14:val="bg1"/>
                  </w14:solidFill>
                </w14:textFill>
              </w:rPr>
              <w:t>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动物医学</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266</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28</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10.53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252" w:hRule="atLeast"/>
        </w:trPr>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药品生产技术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81</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1.23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宠物临床诊疗技术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38</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single" w:sz="8" w:space="0"/>
              <w:insideV w:val="single" w:sz="24" w:space="0"/>
            </w:tcBorders>
            <w:shd w:val="clear" w:color="auto" w:fill="4BACC6" w:themeFill="accent5"/>
            <w:vAlign w:val="center"/>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ru-RU"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生物工程学院 汇总</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right"/>
              <w:rPr>
                <w:rFonts w:hint="default" w:cs="Times New Roman" w:asciiTheme="minorEastAsia" w:hAnsiTheme="minorEastAsia" w:eastAsiaTheme="minorEastAsia"/>
                <w:b/>
                <w:bCs/>
                <w:color w:val="1F497D" w:themeColor="text2"/>
                <w:kern w:val="2"/>
                <w:sz w:val="20"/>
                <w:szCs w:val="20"/>
                <w:highlight w:val="none"/>
                <w:lang w:val="en-US" w:eastAsia="zh-CN" w:bidi="ar-SA"/>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385</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29</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7.53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27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汽车与智能制造学院</w:t>
            </w:r>
          </w:p>
        </w:tc>
        <w:tc>
          <w:tcPr>
            <w:tcW w:w="2625" w:type="dxa"/>
            <w:shd w:val="clear" w:color="auto" w:fill="92CDDC" w:themeFill="accent5" w:themeFillTint="99"/>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ru-RU" w:eastAsia="zh-CN"/>
              </w:rPr>
              <w:t>汽车检测与维修技术</w:t>
            </w:r>
          </w:p>
        </w:tc>
        <w:tc>
          <w:tcPr>
            <w:tcW w:w="1225" w:type="dxa"/>
            <w:shd w:val="clear" w:color="auto" w:fill="92CDDC" w:themeFill="accent5" w:themeFillTint="99"/>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168</w:t>
            </w:r>
          </w:p>
        </w:tc>
        <w:tc>
          <w:tcPr>
            <w:tcW w:w="1487"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15</w:t>
            </w:r>
          </w:p>
        </w:tc>
        <w:tc>
          <w:tcPr>
            <w:tcW w:w="1250"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8.93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asciiTheme="minorEastAsia" w:hAnsiTheme="minorEastAsia" w:eastAsiaTheme="minorEastAsia"/>
                <w:sz w:val="20"/>
                <w:szCs w:val="20"/>
                <w:lang w:val="ru-RU"/>
              </w:rPr>
            </w:pPr>
            <w:r>
              <w:rPr>
                <w:rFonts w:hint="eastAsia" w:asciiTheme="minorEastAsia" w:hAnsiTheme="minorEastAsia" w:eastAsiaTheme="minorEastAsia"/>
                <w:sz w:val="20"/>
                <w:szCs w:val="20"/>
                <w:lang w:val="en-US" w:eastAsia="zh-CN"/>
              </w:rPr>
              <w:t>工业机器人技术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188</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11</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5.85</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right"/>
              <w:rPr>
                <w:rFonts w:hint="default" w:asciiTheme="minorEastAsia" w:hAnsiTheme="minorEastAsia" w:eastAsiaTheme="minorEastAsia"/>
                <w:b w:val="0"/>
                <w:bCs w:val="0"/>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汽车与智能制造学院 汇总</w:t>
            </w:r>
          </w:p>
        </w:tc>
        <w:tc>
          <w:tcPr>
            <w:tcW w:w="1225" w:type="dxa"/>
            <w:shd w:val="clear" w:color="auto" w:fill="92CDDC" w:themeFill="accent5" w:themeFillTint="99"/>
            <w:vAlign w:val="top"/>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356</w:t>
            </w:r>
          </w:p>
        </w:tc>
        <w:tc>
          <w:tcPr>
            <w:tcW w:w="1487" w:type="dxa"/>
            <w:shd w:val="clear" w:color="auto" w:fill="92CDDC" w:themeFill="accent5" w:themeFillTint="99"/>
            <w:vAlign w:val="center"/>
          </w:tcPr>
          <w:p>
            <w:pPr>
              <w:jc w:val="right"/>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26</w:t>
            </w:r>
          </w:p>
        </w:tc>
        <w:tc>
          <w:tcPr>
            <w:tcW w:w="1250" w:type="dxa"/>
            <w:shd w:val="clear" w:color="auto" w:fill="92CDDC" w:themeFill="accent5" w:themeFillTint="99"/>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7.30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建筑工程学院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rPr>
              <w:t>建筑工程技术</w:t>
            </w:r>
          </w:p>
        </w:tc>
        <w:tc>
          <w:tcPr>
            <w:tcW w:w="12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496</w:t>
            </w:r>
          </w:p>
        </w:tc>
        <w:tc>
          <w:tcPr>
            <w:tcW w:w="1487"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18</w:t>
            </w:r>
          </w:p>
        </w:tc>
        <w:tc>
          <w:tcPr>
            <w:tcW w:w="1250" w:type="dxa"/>
            <w:shd w:val="clear" w:color="auto" w:fill="D2EAF0" w:themeFill="accent5" w:themeFillTint="3F"/>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3.63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ru-RU"/>
              </w:rPr>
              <w:t>工程造价</w:t>
            </w:r>
          </w:p>
        </w:tc>
        <w:tc>
          <w:tcPr>
            <w:tcW w:w="12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487"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250"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rPr>
          <w:trHeight w:val="90" w:hRule="atLeast"/>
        </w:trPr>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建筑装饰工程技术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143</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2.80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建筑工程学院 汇总</w:t>
            </w:r>
          </w:p>
        </w:tc>
        <w:tc>
          <w:tcPr>
            <w:tcW w:w="122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718</w:t>
            </w:r>
          </w:p>
        </w:tc>
        <w:tc>
          <w:tcPr>
            <w:tcW w:w="1487"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22</w:t>
            </w:r>
          </w:p>
        </w:tc>
        <w:tc>
          <w:tcPr>
            <w:tcW w:w="1250" w:type="dxa"/>
            <w:shd w:val="clear" w:color="auto" w:fill="92CDDC" w:themeFill="accent5" w:themeFillTint="99"/>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3.06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restart"/>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hint="default"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pPr>
            <w:r>
              <w:rPr>
                <w:rFonts w:hint="eastAsia" w:cs="Times New Roman" w:asciiTheme="minorEastAsia" w:hAnsiTheme="minorEastAsia" w:eastAsiaTheme="minorEastAsia"/>
                <w:b/>
                <w:bCs/>
                <w:i w:val="0"/>
                <w:iCs w:val="0"/>
                <w:color w:val="FFFFFF" w:themeColor="background1"/>
                <w:kern w:val="2"/>
                <w:sz w:val="20"/>
                <w:szCs w:val="20"/>
                <w:lang w:val="en-US" w:eastAsia="zh-CN" w:bidi="ar-SA"/>
                <w14:textFill>
                  <w14:solidFill>
                    <w14:schemeClr w14:val="bg1"/>
                  </w14:solidFill>
                </w14:textFill>
              </w:rPr>
              <w:t>信息技术学院</w:t>
            </w:r>
          </w:p>
          <w:p>
            <w:pPr>
              <w:jc w:val="cente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计算机应用技术</w:t>
            </w:r>
          </w:p>
        </w:tc>
        <w:tc>
          <w:tcPr>
            <w:tcW w:w="1225" w:type="dxa"/>
            <w:shd w:val="clear" w:color="auto" w:fill="D2EAF0" w:themeFill="accent5" w:themeFillTint="3F"/>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477</w:t>
            </w:r>
          </w:p>
        </w:tc>
        <w:tc>
          <w:tcPr>
            <w:tcW w:w="1487" w:type="dxa"/>
            <w:shd w:val="clear" w:color="auto" w:fill="D2EAF0" w:themeFill="accent5" w:themeFillTint="3F"/>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3</w:t>
            </w:r>
          </w:p>
        </w:tc>
        <w:tc>
          <w:tcPr>
            <w:tcW w:w="1250" w:type="dxa"/>
            <w:shd w:val="clear" w:color="auto" w:fill="D2EAF0" w:themeFill="accent5" w:themeFillTint="3F"/>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0.63</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center"/>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center"/>
              <w:rPr>
                <w:rFonts w:hint="eastAsia" w:cs="Times New Roman" w:asciiTheme="minorEastAsia" w:hAnsiTheme="minorEastAsia" w:eastAsiaTheme="minorEastAsia"/>
                <w:kern w:val="2"/>
                <w:sz w:val="20"/>
                <w:szCs w:val="20"/>
                <w:lang w:val="ru-RU" w:eastAsia="zh-CN" w:bidi="ar-SA"/>
              </w:rPr>
            </w:pPr>
            <w:r>
              <w:rPr>
                <w:rFonts w:hint="eastAsia" w:asciiTheme="minorEastAsia" w:hAnsiTheme="minorEastAsia" w:eastAsiaTheme="minorEastAsia"/>
                <w:sz w:val="20"/>
                <w:szCs w:val="20"/>
                <w:lang w:val="en-US" w:eastAsia="zh-CN"/>
              </w:rPr>
              <w:t>计算机网络技术</w:t>
            </w:r>
          </w:p>
        </w:tc>
        <w:tc>
          <w:tcPr>
            <w:tcW w:w="1225" w:type="dxa"/>
            <w:shd w:val="clear" w:color="auto" w:fill="92CDDC" w:themeFill="accent5" w:themeFillTint="99"/>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79</w:t>
            </w:r>
          </w:p>
        </w:tc>
        <w:tc>
          <w:tcPr>
            <w:tcW w:w="1487" w:type="dxa"/>
            <w:shd w:val="clear" w:color="auto" w:fill="92CDDC" w:themeFill="accent5" w:themeFillTint="99"/>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w:t>
            </w:r>
          </w:p>
        </w:tc>
        <w:tc>
          <w:tcPr>
            <w:tcW w:w="1250" w:type="dxa"/>
            <w:shd w:val="clear" w:color="auto" w:fill="92CDDC" w:themeFill="accent5" w:themeFillTint="99"/>
            <w:vAlign w:val="center"/>
          </w:tcPr>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5.06</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ru-RU" w:eastAsia="zh-CN"/>
              </w:rPr>
              <w:t>移动互联</w:t>
            </w:r>
            <w:r>
              <w:rPr>
                <w:rFonts w:hint="eastAsia" w:asciiTheme="minorEastAsia" w:hAnsiTheme="minorEastAsia" w:eastAsiaTheme="minorEastAsia"/>
                <w:sz w:val="20"/>
                <w:szCs w:val="20"/>
                <w:lang w:val="en-US" w:eastAsia="zh-CN"/>
              </w:rPr>
              <w:t>应用</w:t>
            </w:r>
            <w:r>
              <w:rPr>
                <w:rFonts w:hint="eastAsia" w:asciiTheme="minorEastAsia" w:hAnsiTheme="minorEastAsia" w:eastAsiaTheme="minorEastAsia"/>
                <w:sz w:val="20"/>
                <w:szCs w:val="20"/>
                <w:lang w:val="ru-RU" w:eastAsia="zh-CN"/>
              </w:rPr>
              <w:t>技术</w:t>
            </w: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40</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sz w:val="20"/>
                <w:szCs w:val="20"/>
                <w:lang w:val="en-US" w:eastAsia="zh-CN"/>
              </w:rPr>
              <w:t>0</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BEEF3" w:themeFill="accent5" w:themeFillTint="32"/>
            <w:vAlign w:val="center"/>
          </w:tcPr>
          <w:p>
            <w:pPr>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0.00</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vMerge w:val="continue"/>
            <w:tcBorders>
              <w:left w:val="single" w:color="FFFFFF" w:themeColor="background1" w:sz="8" w:space="0"/>
              <w:right w:val="single" w:color="FFFFFF" w:themeColor="background1" w:sz="24" w:space="0"/>
              <w:insideH w:val="nil"/>
              <w:insideV w:val="single" w:sz="24" w:space="0"/>
            </w:tcBorders>
            <w:shd w:val="clear" w:color="auto" w:fill="4BACC6" w:themeFill="accent5"/>
            <w:vAlign w:val="top"/>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p>
        </w:tc>
        <w:tc>
          <w:tcPr>
            <w:tcW w:w="262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信息技术学院 汇总</w:t>
            </w:r>
          </w:p>
        </w:tc>
        <w:tc>
          <w:tcPr>
            <w:tcW w:w="1225" w:type="dxa"/>
            <w:shd w:val="clear" w:color="auto" w:fill="92CDDC" w:themeFill="accent5" w:themeFillTint="99"/>
            <w:vAlign w:val="top"/>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596</w:t>
            </w:r>
          </w:p>
        </w:tc>
        <w:tc>
          <w:tcPr>
            <w:tcW w:w="1487" w:type="dxa"/>
            <w:shd w:val="clear" w:color="auto" w:fill="92CDDC" w:themeFill="accent5" w:themeFillTint="99"/>
            <w:vAlign w:val="center"/>
          </w:tcPr>
          <w:p>
            <w:pPr>
              <w:jc w:val="right"/>
              <w:rPr>
                <w:rFonts w:hint="default" w:cs="Times New Roman" w:asciiTheme="minorEastAsia" w:hAnsiTheme="minorEastAsia" w:eastAsiaTheme="minorEastAsia"/>
                <w:kern w:val="2"/>
                <w:sz w:val="20"/>
                <w:szCs w:val="20"/>
                <w:highlight w:val="none"/>
                <w:lang w:val="en-US" w:eastAsia="zh-CN" w:bidi="ar-SA"/>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7</w:t>
            </w:r>
          </w:p>
        </w:tc>
        <w:tc>
          <w:tcPr>
            <w:tcW w:w="1250" w:type="dxa"/>
            <w:shd w:val="clear" w:color="auto" w:fill="92CDDC" w:themeFill="accent5" w:themeFillTint="99"/>
            <w:vAlign w:val="center"/>
          </w:tcPr>
          <w:p>
            <w:pPr>
              <w:jc w:val="right"/>
              <w:rPr>
                <w:rFonts w:hint="default" w:asciiTheme="minorEastAsia" w:hAnsiTheme="minorEastAsia" w:eastAsiaTheme="minorEastAsia"/>
                <w:b/>
                <w:bCs/>
                <w:color w:val="1F497D" w:themeColor="text2"/>
                <w:sz w:val="20"/>
                <w:szCs w:val="20"/>
                <w:highlight w:val="none"/>
                <w:lang w:val="en-US" w:eastAsia="zh-CN"/>
                <w14:textFill>
                  <w14:solidFill>
                    <w14:schemeClr w14:val="tx2"/>
                  </w14:solidFill>
                </w14:textFill>
              </w:rPr>
            </w:pPr>
            <w:r>
              <w:rPr>
                <w:rFonts w:hint="eastAsia" w:asciiTheme="minorEastAsia" w:hAnsiTheme="minorEastAsia" w:eastAsiaTheme="minorEastAsia"/>
                <w:b/>
                <w:bCs/>
                <w:color w:val="1F497D" w:themeColor="text2"/>
                <w:sz w:val="20"/>
                <w:szCs w:val="20"/>
                <w:lang w:val="en-US" w:eastAsia="zh-CN"/>
                <w14:textFill>
                  <w14:solidFill>
                    <w14:schemeClr w14:val="tx2"/>
                  </w14:solidFill>
                </w14:textFill>
              </w:rPr>
              <w:t>1.17</w:t>
            </w:r>
          </w:p>
        </w:tc>
      </w:tr>
      <w:tr>
        <w:tblPrEx>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Ex>
        <w:tc>
          <w:tcPr>
            <w:tcW w:w="2275" w:type="dxa"/>
            <w:tcBorders>
              <w:top w:val="single" w:color="FFFFFF" w:themeColor="background1" w:sz="8" w:space="0"/>
              <w:left w:val="single" w:color="FFFFFF" w:themeColor="background1" w:sz="8" w:space="0"/>
              <w:bottom w:val="single" w:color="FFFFFF" w:themeColor="background1" w:sz="8" w:space="0"/>
              <w:right w:val="single" w:color="FFFFFF" w:themeColor="background1" w:sz="24" w:space="0"/>
              <w:insideH w:val="single" w:sz="8" w:space="0"/>
              <w:insideV w:val="single" w:sz="24" w:space="0"/>
            </w:tcBorders>
            <w:shd w:val="clear" w:color="auto" w:fill="4BACC6" w:themeFill="accent5"/>
          </w:tcPr>
          <w:p>
            <w:pPr>
              <w:jc w:val="center"/>
              <w:rPr>
                <w:rFonts w:asciiTheme="minorEastAsia" w:hAnsiTheme="minorEastAsia" w:eastAsiaTheme="minorEastAsia"/>
                <w:b/>
                <w:bCs/>
                <w:i w:val="0"/>
                <w:iCs w:val="0"/>
                <w:color w:val="FFFFFF" w:themeColor="background1"/>
                <w:sz w:val="20"/>
                <w:szCs w:val="20"/>
                <w:lang w:val="ru-RU"/>
                <w14:textFill>
                  <w14:solidFill>
                    <w14:schemeClr w14:val="bg1"/>
                  </w14:solidFill>
                </w14:textFill>
              </w:rPr>
            </w:pPr>
            <w:r>
              <w:rPr>
                <w:rFonts w:hint="eastAsia" w:asciiTheme="minorEastAsia" w:hAnsiTheme="minorEastAsia" w:eastAsiaTheme="minorEastAsia"/>
                <w:b/>
                <w:bCs/>
                <w:i w:val="0"/>
                <w:iCs w:val="0"/>
                <w:color w:val="FFFFFF" w:themeColor="background1"/>
                <w:sz w:val="20"/>
                <w:szCs w:val="20"/>
                <w:lang w:val="ru-RU"/>
                <w14:textFill>
                  <w14:solidFill>
                    <w14:schemeClr w14:val="bg1"/>
                  </w14:solidFill>
                </w14:textFill>
              </w:rPr>
              <w:t>总计</w:t>
            </w:r>
          </w:p>
        </w:tc>
        <w:tc>
          <w:tcPr>
            <w:tcW w:w="26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tcPr>
          <w:p>
            <w:pPr>
              <w:jc w:val="center"/>
              <w:rPr>
                <w:rFonts w:asciiTheme="minorEastAsia" w:hAnsiTheme="minorEastAsia" w:eastAsiaTheme="minorEastAsia"/>
                <w:sz w:val="20"/>
                <w:szCs w:val="20"/>
                <w:lang w:val="ru-RU"/>
              </w:rPr>
            </w:pPr>
          </w:p>
        </w:tc>
        <w:tc>
          <w:tcPr>
            <w:tcW w:w="1225"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4022</w:t>
            </w:r>
          </w:p>
        </w:tc>
        <w:tc>
          <w:tcPr>
            <w:tcW w:w="1487"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asciiTheme="minorEastAsia" w:hAnsiTheme="minorEastAsia" w:eastAsiaTheme="minorEastAsia"/>
                <w:b/>
                <w:bCs/>
                <w:sz w:val="20"/>
                <w:szCs w:val="20"/>
                <w:lang w:val="en-US" w:eastAsia="zh-CN"/>
              </w:rPr>
            </w:pPr>
            <w:r>
              <w:rPr>
                <w:rFonts w:hint="eastAsia" w:asciiTheme="minorEastAsia" w:hAnsiTheme="minorEastAsia" w:eastAsiaTheme="minorEastAsia"/>
                <w:b/>
                <w:bCs/>
                <w:sz w:val="20"/>
                <w:szCs w:val="20"/>
                <w:lang w:val="en-US" w:eastAsia="zh-CN"/>
              </w:rPr>
              <w:t>213</w:t>
            </w:r>
          </w:p>
        </w:tc>
        <w:tc>
          <w:tcPr>
            <w:tcW w:w="1250" w:type="dxa"/>
            <w:tcBorders>
              <w:top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2CDDC"/>
            <w:vAlign w:val="top"/>
          </w:tcPr>
          <w:p>
            <w:pPr>
              <w:jc w:val="center"/>
              <w:rPr>
                <w:rFonts w:hint="default" w:cs="Times New Roman" w:asciiTheme="minorEastAsia" w:hAnsiTheme="minorEastAsia" w:eastAsiaTheme="minorEastAsia"/>
                <w:kern w:val="2"/>
                <w:sz w:val="20"/>
                <w:szCs w:val="20"/>
                <w:lang w:val="en-US" w:eastAsia="zh-CN" w:bidi="ar-SA"/>
              </w:rPr>
            </w:pPr>
            <w:r>
              <w:rPr>
                <w:rFonts w:hint="eastAsia" w:asciiTheme="minorEastAsia" w:hAnsiTheme="minorEastAsia" w:eastAsiaTheme="minorEastAsia"/>
                <w:b/>
                <w:bCs/>
                <w:sz w:val="20"/>
                <w:szCs w:val="20"/>
                <w:lang w:val="en-US" w:eastAsia="zh-CN"/>
              </w:rPr>
              <w:t>5.30</w:t>
            </w:r>
          </w:p>
        </w:tc>
      </w:tr>
    </w:tbl>
    <w:p>
      <w:pPr>
        <w:numPr>
          <w:ilvl w:val="0"/>
          <w:numId w:val="0"/>
        </w:numPr>
        <w:ind w:leftChars="0"/>
        <w:jc w:val="left"/>
        <w:rPr>
          <w:rFonts w:hint="eastAsia"/>
          <w:sz w:val="28"/>
          <w:szCs w:val="28"/>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二、自由职业评价与反馈</w:t>
      </w:r>
    </w:p>
    <w:p>
      <w:pPr>
        <w:numPr>
          <w:ilvl w:val="0"/>
          <w:numId w:val="0"/>
        </w:numPr>
        <w:ind w:leftChars="0"/>
        <w:jc w:val="left"/>
        <w:rPr>
          <w:rFonts w:hint="default"/>
          <w:sz w:val="28"/>
          <w:szCs w:val="28"/>
          <w:lang w:val="en-US" w:eastAsia="zh-CN"/>
        </w:rPr>
      </w:pPr>
      <w:r>
        <w:rPr>
          <w:rFonts w:hint="eastAsia"/>
          <w:sz w:val="28"/>
          <w:szCs w:val="28"/>
          <w:lang w:val="en-US" w:eastAsia="zh-CN"/>
        </w:rPr>
        <w:t>（一）自由职业专业相关度</w:t>
      </w:r>
    </w:p>
    <w:p>
      <w:pPr>
        <w:ind w:firstLine="560" w:firstLineChars="200"/>
        <w:jc w:val="left"/>
        <w:rPr>
          <w:rFonts w:hint="eastAsia"/>
          <w:sz w:val="28"/>
          <w:szCs w:val="28"/>
          <w:lang w:val="ru-RU"/>
        </w:rPr>
      </w:pPr>
      <w:r>
        <w:rPr>
          <w:rFonts w:hint="eastAsia"/>
          <w:sz w:val="28"/>
          <w:szCs w:val="28"/>
          <w:lang w:val="ru-RU"/>
        </w:rPr>
        <w:t>根据调研数据统计，</w:t>
      </w:r>
      <w:r>
        <w:rPr>
          <w:rFonts w:hint="eastAsia"/>
          <w:sz w:val="28"/>
          <w:szCs w:val="28"/>
          <w:lang w:val="en-US" w:eastAsia="zh-CN"/>
        </w:rPr>
        <w:t>2023</w:t>
      </w:r>
      <w:r>
        <w:rPr>
          <w:rFonts w:hint="eastAsia"/>
          <w:sz w:val="28"/>
          <w:szCs w:val="28"/>
          <w:lang w:val="ru-RU"/>
        </w:rPr>
        <w:t>届毕业生毕业生自由职业专业相关度为</w:t>
      </w:r>
      <w:r>
        <w:rPr>
          <w:rFonts w:hint="eastAsia"/>
          <w:sz w:val="28"/>
          <w:szCs w:val="28"/>
          <w:lang w:val="en-US" w:eastAsia="zh-CN"/>
        </w:rPr>
        <w:t>27.59</w:t>
      </w:r>
      <w:r>
        <w:rPr>
          <w:rFonts w:hint="eastAsia"/>
          <w:sz w:val="28"/>
          <w:szCs w:val="28"/>
          <w:lang w:val="ru-RU"/>
        </w:rPr>
        <w:t>%</w:t>
      </w:r>
      <w:r>
        <w:rPr>
          <w:rFonts w:hint="default"/>
          <w:sz w:val="28"/>
          <w:szCs w:val="28"/>
          <w:lang w:val="ru-RU"/>
        </w:rPr>
        <w:t>，其中“非常相关”占比</w:t>
      </w:r>
      <w:r>
        <w:rPr>
          <w:rFonts w:hint="eastAsia"/>
          <w:sz w:val="28"/>
          <w:szCs w:val="28"/>
          <w:lang w:val="en-US" w:eastAsia="zh-CN"/>
        </w:rPr>
        <w:t>2.16</w:t>
      </w:r>
      <w:r>
        <w:rPr>
          <w:rFonts w:hint="default"/>
          <w:sz w:val="28"/>
          <w:szCs w:val="28"/>
          <w:lang w:val="ru-RU"/>
        </w:rPr>
        <w:t>%，“ 相关 ”占比</w:t>
      </w:r>
      <w:r>
        <w:rPr>
          <w:rFonts w:hint="eastAsia"/>
          <w:sz w:val="28"/>
          <w:szCs w:val="28"/>
          <w:lang w:val="en-US" w:eastAsia="zh-CN"/>
        </w:rPr>
        <w:t>13</w:t>
      </w:r>
      <w:r>
        <w:rPr>
          <w:rFonts w:hint="default"/>
          <w:sz w:val="28"/>
          <w:szCs w:val="28"/>
          <w:lang w:val="ru-RU"/>
        </w:rPr>
        <w:t>.79%，“比较相关”占比</w:t>
      </w:r>
      <w:r>
        <w:rPr>
          <w:rFonts w:hint="eastAsia"/>
          <w:sz w:val="28"/>
          <w:szCs w:val="28"/>
          <w:lang w:val="en-US" w:eastAsia="zh-CN"/>
        </w:rPr>
        <w:t>11.64</w:t>
      </w:r>
      <w:r>
        <w:rPr>
          <w:rFonts w:hint="default"/>
          <w:sz w:val="28"/>
          <w:szCs w:val="28"/>
          <w:lang w:val="ru-RU"/>
        </w:rPr>
        <w:t>%。</w:t>
      </w:r>
    </w:p>
    <w:p>
      <w:pPr>
        <w:ind w:firstLine="560" w:firstLineChars="200"/>
        <w:jc w:val="left"/>
        <w:rPr>
          <w:sz w:val="28"/>
          <w:szCs w:val="28"/>
        </w:rPr>
      </w:pPr>
      <w:r>
        <w:rPr>
          <w:sz w:val="28"/>
          <w:szCs w:val="28"/>
        </w:rPr>
        <w:drawing>
          <wp:inline distT="0" distB="0" distL="0" distR="0">
            <wp:extent cx="4476750" cy="2302510"/>
            <wp:effectExtent l="4445" t="4445" r="14605" b="17145"/>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6</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1 </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w:t>
      </w:r>
      <w:r>
        <w:rPr>
          <w:rFonts w:ascii="monospace" w:hAnsi="monospace" w:eastAsia="monospace" w:cs="monospace"/>
          <w:sz w:val="18"/>
          <w:szCs w:val="18"/>
        </w:rPr>
        <w:t>自</w:t>
      </w:r>
      <w:r>
        <w:rPr>
          <w:rFonts w:hint="default" w:ascii="monospace" w:hAnsi="monospace" w:eastAsia="monospace" w:cs="monospace"/>
          <w:sz w:val="18"/>
          <w:szCs w:val="18"/>
        </w:rPr>
        <w:t>由职业专业相关度</w:t>
      </w:r>
    </w:p>
    <w:p>
      <w:pPr>
        <w:numPr>
          <w:ilvl w:val="0"/>
          <w:numId w:val="0"/>
        </w:numPr>
        <w:jc w:val="left"/>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注：自由职业相关度=非常相关+比较相关+相关</w:t>
      </w:r>
    </w:p>
    <w:p>
      <w:pPr>
        <w:pStyle w:val="6"/>
        <w:rPr>
          <w:rFonts w:hint="default"/>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w:t>
      </w:r>
      <w:r>
        <w:rPr>
          <w:rFonts w:hint="default"/>
          <w:sz w:val="28"/>
          <w:szCs w:val="28"/>
          <w:lang w:val="en-US" w:eastAsia="zh-CN"/>
        </w:rPr>
        <w:t>自由职业理想一致</w:t>
      </w:r>
      <w:r>
        <w:rPr>
          <w:rFonts w:hint="eastAsia"/>
          <w:sz w:val="28"/>
          <w:szCs w:val="28"/>
          <w:lang w:val="en-US" w:eastAsia="zh-CN"/>
        </w:rPr>
        <w:t>性</w:t>
      </w:r>
    </w:p>
    <w:p>
      <w:pPr>
        <w:ind w:firstLine="560" w:firstLineChars="200"/>
        <w:jc w:val="left"/>
        <w:rPr>
          <w:rFonts w:hint="eastAsia" w:eastAsia="宋体"/>
          <w:sz w:val="28"/>
          <w:szCs w:val="28"/>
          <w:lang w:val="en-US" w:eastAsia="zh-CN"/>
        </w:rPr>
      </w:pPr>
      <w:r>
        <w:rPr>
          <w:rFonts w:hint="eastAsia"/>
          <w:sz w:val="28"/>
          <w:szCs w:val="28"/>
          <w:lang w:val="ru-RU"/>
        </w:rPr>
        <w:t>根据调研数据统计，</w:t>
      </w:r>
      <w:r>
        <w:rPr>
          <w:rFonts w:hint="eastAsia"/>
          <w:sz w:val="28"/>
          <w:szCs w:val="28"/>
          <w:lang w:val="en-US" w:eastAsia="zh-CN"/>
        </w:rPr>
        <w:t>2023</w:t>
      </w:r>
      <w:r>
        <w:rPr>
          <w:rFonts w:hint="eastAsia"/>
          <w:sz w:val="28"/>
          <w:szCs w:val="28"/>
          <w:lang w:val="ru-RU"/>
        </w:rPr>
        <w:t>届毕业生</w:t>
      </w:r>
      <w:r>
        <w:rPr>
          <w:sz w:val="28"/>
          <w:szCs w:val="28"/>
          <w:lang w:val="ru-RU"/>
        </w:rPr>
        <w:t>毕业生自由职业理想一致</w:t>
      </w:r>
      <w:r>
        <w:rPr>
          <w:rFonts w:hint="eastAsia"/>
          <w:sz w:val="28"/>
          <w:szCs w:val="28"/>
          <w:lang w:val="en-US" w:eastAsia="zh-CN"/>
        </w:rPr>
        <w:t>性</w:t>
      </w:r>
      <w:r>
        <w:rPr>
          <w:sz w:val="28"/>
          <w:szCs w:val="28"/>
          <w:lang w:val="ru-RU"/>
        </w:rPr>
        <w:t>为</w:t>
      </w:r>
      <w:r>
        <w:rPr>
          <w:rFonts w:hint="eastAsia"/>
          <w:sz w:val="28"/>
          <w:szCs w:val="28"/>
          <w:lang w:val="en-US" w:eastAsia="zh-CN"/>
        </w:rPr>
        <w:t>33.19</w:t>
      </w:r>
      <w:r>
        <w:rPr>
          <w:sz w:val="28"/>
          <w:szCs w:val="28"/>
          <w:lang w:val="ru-RU"/>
        </w:rPr>
        <w:t>%</w:t>
      </w:r>
      <w:r>
        <w:rPr>
          <w:rFonts w:hint="default"/>
          <w:sz w:val="28"/>
          <w:szCs w:val="28"/>
          <w:lang w:val="ru-RU"/>
        </w:rPr>
        <w:t>，其中 “非常一致”占比</w:t>
      </w:r>
      <w:r>
        <w:rPr>
          <w:rFonts w:hint="eastAsia"/>
          <w:sz w:val="28"/>
          <w:szCs w:val="28"/>
          <w:lang w:val="en-US" w:eastAsia="zh-CN"/>
        </w:rPr>
        <w:t>3.88</w:t>
      </w:r>
      <w:r>
        <w:rPr>
          <w:rFonts w:hint="default"/>
          <w:sz w:val="28"/>
          <w:szCs w:val="28"/>
          <w:lang w:val="ru-RU"/>
        </w:rPr>
        <w:t>%，“ 一致 ”占比</w:t>
      </w:r>
      <w:r>
        <w:rPr>
          <w:rFonts w:hint="eastAsia"/>
          <w:sz w:val="28"/>
          <w:szCs w:val="28"/>
          <w:lang w:val="en-US" w:eastAsia="zh-CN"/>
        </w:rPr>
        <w:t>12</w:t>
      </w:r>
      <w:r>
        <w:rPr>
          <w:rFonts w:hint="default"/>
          <w:sz w:val="28"/>
          <w:szCs w:val="28"/>
          <w:lang w:val="ru-RU"/>
        </w:rPr>
        <w:t>.07%，“比较一致”占比</w:t>
      </w:r>
      <w:r>
        <w:rPr>
          <w:rFonts w:hint="eastAsia"/>
          <w:sz w:val="28"/>
          <w:szCs w:val="28"/>
          <w:lang w:val="en-US" w:eastAsia="zh-CN"/>
        </w:rPr>
        <w:t>17.24</w:t>
      </w:r>
      <w:r>
        <w:rPr>
          <w:rFonts w:hint="default"/>
          <w:sz w:val="28"/>
          <w:szCs w:val="28"/>
          <w:lang w:val="ru-RU"/>
        </w:rPr>
        <w:t>%</w:t>
      </w:r>
      <w:r>
        <w:rPr>
          <w:rFonts w:hint="eastAsia"/>
          <w:sz w:val="28"/>
          <w:szCs w:val="28"/>
          <w:lang w:val="ru-RU" w:eastAsia="zh-CN"/>
        </w:rPr>
        <w:t>。</w:t>
      </w:r>
    </w:p>
    <w:p>
      <w:pPr>
        <w:jc w:val="left"/>
        <w:rPr>
          <w:sz w:val="28"/>
          <w:szCs w:val="28"/>
          <w:lang w:val="ru-RU"/>
        </w:rPr>
      </w:pPr>
      <w:r>
        <w:rPr>
          <w:rFonts w:hint="eastAsia"/>
          <w:sz w:val="28"/>
          <w:szCs w:val="28"/>
          <w:lang w:val="en-US" w:eastAsia="zh-CN"/>
        </w:rPr>
        <w:t xml:space="preserve">     </w:t>
      </w:r>
      <w:r>
        <w:rPr>
          <w:sz w:val="28"/>
          <w:szCs w:val="28"/>
        </w:rPr>
        <w:drawing>
          <wp:inline distT="0" distB="0" distL="0" distR="0">
            <wp:extent cx="4476750" cy="2302510"/>
            <wp:effectExtent l="4445" t="4445" r="14605" b="1714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6</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2 </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自由职业理想</w:t>
      </w:r>
      <w:r>
        <w:rPr>
          <w:rFonts w:hint="eastAsia" w:asciiTheme="minorEastAsia" w:hAnsiTheme="minorEastAsia" w:eastAsiaTheme="minorEastAsia"/>
          <w:sz w:val="20"/>
          <w:szCs w:val="20"/>
          <w:lang w:val="ru-RU"/>
        </w:rPr>
        <w:t>一致性</w:t>
      </w:r>
    </w:p>
    <w:p>
      <w:pPr>
        <w:numPr>
          <w:ilvl w:val="0"/>
          <w:numId w:val="0"/>
        </w:num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注：自由职业理想一致性=非常一致+比较一致+一致</w:t>
      </w:r>
    </w:p>
    <w:p>
      <w:pPr>
        <w:pStyle w:val="6"/>
        <w:rPr>
          <w:rFonts w:hint="default" w:asciiTheme="minorEastAsia" w:hAnsiTheme="minorEastAsia" w:eastAsiaTheme="minorEastAsia"/>
          <w:sz w:val="20"/>
          <w:szCs w:val="20"/>
          <w:lang w:val="en-US" w:eastAsia="zh-CN"/>
        </w:rPr>
      </w:pPr>
    </w:p>
    <w:p>
      <w:pPr>
        <w:numPr>
          <w:ilvl w:val="0"/>
          <w:numId w:val="0"/>
        </w:numPr>
        <w:jc w:val="both"/>
        <w:rPr>
          <w:rFonts w:hint="eastAsia"/>
          <w:sz w:val="28"/>
          <w:szCs w:val="28"/>
          <w:lang w:val="en-US" w:eastAsia="zh-CN"/>
        </w:rPr>
      </w:pPr>
      <w:r>
        <w:rPr>
          <w:rFonts w:hint="eastAsia"/>
          <w:sz w:val="28"/>
          <w:szCs w:val="28"/>
          <w:lang w:val="en-US" w:eastAsia="zh-CN"/>
        </w:rPr>
        <w:t>（三）自由职业月收入分布范围</w:t>
      </w:r>
    </w:p>
    <w:p>
      <w:pPr>
        <w:numPr>
          <w:ilvl w:val="0"/>
          <w:numId w:val="0"/>
        </w:numPr>
        <w:ind w:firstLine="560" w:firstLineChars="200"/>
        <w:jc w:val="both"/>
        <w:rPr>
          <w:rFonts w:hint="default" w:asciiTheme="minorEastAsia" w:hAnsiTheme="minorEastAsia" w:eastAsiaTheme="minorEastAsia"/>
          <w:sz w:val="20"/>
          <w:szCs w:val="20"/>
          <w:lang w:val="en-US" w:eastAsia="zh-CN"/>
        </w:rPr>
      </w:pPr>
      <w:r>
        <w:rPr>
          <w:rFonts w:hint="eastAsia"/>
          <w:sz w:val="28"/>
          <w:szCs w:val="28"/>
          <w:lang w:val="en-US" w:eastAsia="zh-CN"/>
        </w:rPr>
        <w:t>调研数据显示，</w:t>
      </w:r>
      <w:r>
        <w:rPr>
          <w:rFonts w:hint="eastAsia"/>
          <w:sz w:val="28"/>
          <w:szCs w:val="28"/>
          <w:highlight w:val="none"/>
          <w:lang w:val="en-US" w:eastAsia="zh-CN"/>
        </w:rPr>
        <w:t>2023届</w:t>
      </w:r>
      <w:r>
        <w:rPr>
          <w:rFonts w:hint="eastAsia"/>
          <w:sz w:val="28"/>
          <w:szCs w:val="28"/>
          <w:lang w:val="en-US" w:eastAsia="zh-CN"/>
        </w:rPr>
        <w:t>毕业生自由职业平均月收入（实发到手工资）主要集中在“3001-4000元”（34.05%）、其次为“3000元以下”（26.73%）、“4001-5000元”（21.98%）。</w:t>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6</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 xml:space="preserve">3  </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2023届毕业生自由职业月收入分布范围</w:t>
      </w:r>
    </w:p>
    <w:p>
      <w:pPr>
        <w:ind w:firstLine="560" w:firstLineChars="200"/>
        <w:jc w:val="center"/>
        <w:rPr>
          <w:rFonts w:hint="eastAsia"/>
          <w:sz w:val="36"/>
          <w:szCs w:val="36"/>
          <w:highlight w:val="none"/>
          <w:lang w:val="en-US" w:eastAsia="zh-CN"/>
        </w:rPr>
      </w:pPr>
      <w:r>
        <w:rPr>
          <w:rFonts w:hint="default"/>
          <w:sz w:val="28"/>
          <w:szCs w:val="28"/>
          <w:lang w:val="en-US" w:eastAsia="zh-CN"/>
        </w:rPr>
        <w:drawing>
          <wp:inline distT="0" distB="0" distL="114300" distR="114300">
            <wp:extent cx="4754245" cy="2643505"/>
            <wp:effectExtent l="4445" t="4445" r="22860" b="19050"/>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ind w:firstLine="720" w:firstLineChars="200"/>
        <w:jc w:val="center"/>
        <w:rPr>
          <w:rFonts w:hint="eastAsia"/>
          <w:sz w:val="36"/>
          <w:szCs w:val="36"/>
          <w:highlight w:val="none"/>
          <w:lang w:val="en-US" w:eastAsia="zh-CN"/>
        </w:rPr>
      </w:pPr>
    </w:p>
    <w:p>
      <w:pPr>
        <w:jc w:val="both"/>
        <w:rPr>
          <w:rFonts w:hint="eastAsia"/>
          <w:sz w:val="36"/>
          <w:szCs w:val="36"/>
          <w:highlight w:val="none"/>
          <w:lang w:val="en-US" w:eastAsia="zh-CN"/>
        </w:rPr>
      </w:pPr>
    </w:p>
    <w:p>
      <w:pPr>
        <w:pStyle w:val="6"/>
        <w:rPr>
          <w:rFonts w:hint="eastAsia"/>
          <w:sz w:val="36"/>
          <w:szCs w:val="36"/>
          <w:highlight w:val="none"/>
          <w:lang w:val="en-US" w:eastAsia="zh-CN"/>
        </w:rPr>
      </w:pPr>
    </w:p>
    <w:p>
      <w:pPr>
        <w:pStyle w:val="2"/>
        <w:rPr>
          <w:rFonts w:hint="eastAsia"/>
          <w:lang w:val="en-US" w:eastAsia="zh-CN"/>
        </w:rPr>
      </w:pPr>
    </w:p>
    <w:p>
      <w:pPr>
        <w:ind w:firstLine="720" w:firstLineChars="200"/>
        <w:jc w:val="center"/>
        <w:rPr>
          <w:rFonts w:hint="eastAsia"/>
          <w:sz w:val="36"/>
          <w:szCs w:val="36"/>
          <w:highlight w:val="yellow"/>
          <w:lang w:val="en-US" w:eastAsia="zh-CN"/>
        </w:rPr>
      </w:pPr>
      <w:r>
        <w:rPr>
          <w:rFonts w:hint="eastAsia"/>
          <w:sz w:val="36"/>
          <w:szCs w:val="36"/>
          <w:highlight w:val="none"/>
          <w:lang w:val="en-US" w:eastAsia="zh-CN"/>
        </w:rPr>
        <w:t>第七章 未就业毕业生情况</w:t>
      </w: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一、未就业状况</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2023届未就业毕业生共有177人，其中处于求职中状态156人（占比88.14%），处于暂不就业状态15人（占比8.47%），处于拟应征入伍状态5人（占比2.82%），处于不就业拟升学1人（占比0.56%）。</w:t>
      </w:r>
    </w:p>
    <w:p>
      <w:pPr>
        <w:pStyle w:val="6"/>
        <w:rPr>
          <w:rFonts w:hint="default"/>
          <w:lang w:val="en-US" w:eastAsia="zh-CN"/>
        </w:rPr>
      </w:pPr>
    </w:p>
    <w:p>
      <w:pPr>
        <w:numPr>
          <w:ilvl w:val="0"/>
          <w:numId w:val="0"/>
        </w:numPr>
        <w:ind w:leftChars="0"/>
        <w:jc w:val="left"/>
        <w:rPr>
          <w:rFonts w:hint="eastAsia"/>
          <w:sz w:val="28"/>
          <w:szCs w:val="28"/>
          <w:lang w:val="en-US" w:eastAsia="zh-CN"/>
        </w:rPr>
      </w:pPr>
      <w:r>
        <w:rPr>
          <w:rFonts w:hint="eastAsia"/>
          <w:sz w:val="28"/>
          <w:szCs w:val="28"/>
          <w:lang w:val="en-US" w:eastAsia="zh-CN"/>
        </w:rPr>
        <w:t>二、未就业评价与反馈</w:t>
      </w:r>
    </w:p>
    <w:p>
      <w:pPr>
        <w:jc w:val="left"/>
        <w:rPr>
          <w:rFonts w:hint="eastAsia"/>
          <w:sz w:val="28"/>
          <w:szCs w:val="28"/>
          <w:highlight w:val="none"/>
          <w:lang w:val="en-US" w:eastAsia="zh-CN"/>
        </w:rPr>
      </w:pPr>
      <w:r>
        <w:rPr>
          <w:rFonts w:hint="eastAsia"/>
          <w:sz w:val="28"/>
          <w:szCs w:val="28"/>
          <w:highlight w:val="none"/>
          <w:lang w:val="en-US" w:eastAsia="zh-CN"/>
        </w:rPr>
        <w:t>（一）未就业毕业生暂未成功就业的主要原因</w:t>
      </w:r>
    </w:p>
    <w:p>
      <w:pPr>
        <w:keepNext w:val="0"/>
        <w:keepLines w:val="0"/>
        <w:widowControl/>
        <w:suppressLineNumbers w:val="0"/>
        <w:ind w:firstLine="560" w:firstLineChars="200"/>
        <w:jc w:val="left"/>
        <w:rPr>
          <w:rFonts w:hint="default"/>
          <w:sz w:val="28"/>
          <w:szCs w:val="28"/>
          <w:highlight w:val="none"/>
          <w:lang w:val="en-US" w:eastAsia="zh-CN"/>
        </w:rPr>
      </w:pPr>
      <w:r>
        <w:rPr>
          <w:rFonts w:hint="eastAsia"/>
          <w:sz w:val="28"/>
          <w:szCs w:val="28"/>
          <w:highlight w:val="none"/>
          <w:lang w:val="en-US" w:eastAsia="zh-CN"/>
        </w:rPr>
        <w:t>调研数据显示，尚未就业的毕业生暂未成功就业的主要原因排名前三位的分别是“缺乏相关实习、实践经验”（28.23%）、“有工作意向，还在观望”（23.92%）</w:t>
      </w:r>
      <w:r>
        <w:rPr>
          <w:rFonts w:hint="eastAsia"/>
          <w:sz w:val="28"/>
          <w:szCs w:val="28"/>
          <w:lang w:val="en-US" w:eastAsia="zh-CN"/>
        </w:rPr>
        <w:t>、“其他”（9.57%）。</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2023届毕业生暂未成功就业原因</w:t>
      </w:r>
    </w:p>
    <w:p>
      <w:pPr>
        <w:numPr>
          <w:ilvl w:val="0"/>
          <w:numId w:val="0"/>
        </w:numPr>
        <w:jc w:val="left"/>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4969510" cy="2524125"/>
            <wp:effectExtent l="4445" t="4445" r="17145" b="5080"/>
            <wp:docPr id="44" name="图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pStyle w:val="6"/>
        <w:rPr>
          <w:rFonts w:hint="default"/>
          <w:lang w:val="en-US" w:eastAsia="zh-CN"/>
        </w:rPr>
      </w:pPr>
    </w:p>
    <w:p>
      <w:pPr>
        <w:numPr>
          <w:ilvl w:val="0"/>
          <w:numId w:val="0"/>
        </w:numPr>
        <w:jc w:val="left"/>
        <w:rPr>
          <w:rFonts w:hint="eastAsia"/>
          <w:sz w:val="28"/>
          <w:szCs w:val="28"/>
          <w:lang w:val="en-US" w:eastAsia="zh-CN"/>
        </w:rPr>
      </w:pPr>
      <w:r>
        <w:rPr>
          <w:rFonts w:hint="eastAsia"/>
          <w:sz w:val="28"/>
          <w:szCs w:val="28"/>
          <w:lang w:val="en-US" w:eastAsia="zh-CN"/>
        </w:rPr>
        <w:t>（二）未就业毕业生求职关注的因素分析</w:t>
      </w:r>
    </w:p>
    <w:p>
      <w:pPr>
        <w:numPr>
          <w:ilvl w:val="0"/>
          <w:numId w:val="0"/>
        </w:numPr>
        <w:ind w:firstLine="560" w:firstLineChars="200"/>
        <w:jc w:val="left"/>
        <w:rPr>
          <w:rFonts w:hint="default"/>
          <w:sz w:val="28"/>
          <w:szCs w:val="28"/>
          <w:lang w:val="en-US" w:eastAsia="zh-CN"/>
        </w:rPr>
      </w:pPr>
      <w:r>
        <w:rPr>
          <w:rFonts w:hint="eastAsia"/>
          <w:sz w:val="28"/>
          <w:szCs w:val="28"/>
          <w:lang w:val="en-US" w:eastAsia="zh-CN"/>
        </w:rPr>
        <w:t>调研数据显示，尚未就业的毕业生求职关注因素排名前三位的主要是“工作稳定性”（52.63%）、“薪酬水平”（48.33%）、“岗位发展前景”（40.19%）。这表明，毕业生在求职时不仅仅只注重薪酬水平，还注重长远发展。</w:t>
      </w:r>
      <w:r>
        <w:rPr>
          <w:rFonts w:hint="default"/>
          <w:sz w:val="28"/>
          <w:szCs w:val="28"/>
          <w:lang w:val="en-US" w:eastAsia="zh-CN"/>
        </w:rPr>
        <w:drawing>
          <wp:inline distT="0" distB="0" distL="114300" distR="114300">
            <wp:extent cx="6371590" cy="2791460"/>
            <wp:effectExtent l="4445" t="4445" r="5715" b="23495"/>
            <wp:docPr id="84" name="图表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2023届毕业生求职关注因素（多选题）</w:t>
      </w:r>
    </w:p>
    <w:p>
      <w:pPr>
        <w:pStyle w:val="6"/>
        <w:rPr>
          <w:rFonts w:hint="eastAsia"/>
          <w:lang w:val="en-US" w:eastAsia="zh-CN"/>
        </w:rPr>
      </w:pPr>
    </w:p>
    <w:p>
      <w:pPr>
        <w:numPr>
          <w:ilvl w:val="0"/>
          <w:numId w:val="0"/>
        </w:numPr>
        <w:jc w:val="left"/>
        <w:rPr>
          <w:rFonts w:hint="eastAsia"/>
          <w:sz w:val="28"/>
          <w:szCs w:val="28"/>
          <w:lang w:val="en-US" w:eastAsia="zh-CN"/>
        </w:rPr>
      </w:pPr>
      <w:r>
        <w:rPr>
          <w:rFonts w:hint="eastAsia"/>
          <w:sz w:val="28"/>
          <w:szCs w:val="28"/>
          <w:lang w:val="en-US" w:eastAsia="zh-CN"/>
        </w:rPr>
        <w:t>（三）未就业毕业生求职面试的用人单位数量</w:t>
      </w:r>
    </w:p>
    <w:p>
      <w:pPr>
        <w:numPr>
          <w:ilvl w:val="0"/>
          <w:numId w:val="0"/>
        </w:numPr>
        <w:ind w:leftChars="0" w:firstLine="560"/>
        <w:jc w:val="left"/>
        <w:rPr>
          <w:rFonts w:hint="eastAsia"/>
          <w:sz w:val="28"/>
          <w:szCs w:val="28"/>
          <w:lang w:val="en-US" w:eastAsia="zh-CN"/>
        </w:rPr>
      </w:pPr>
      <w:r>
        <w:rPr>
          <w:rFonts w:hint="eastAsia"/>
          <w:sz w:val="28"/>
          <w:szCs w:val="28"/>
          <w:lang w:val="en-US" w:eastAsia="zh-CN"/>
        </w:rPr>
        <w:t>调研数据显示，56.94%的未就业毕业生目前参加面试的用人单位数量主要集中在“1-3家”；有13.87%的毕业生面试了“4-6家”。还有15.31%的毕业生没有获得面试机会。</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  2023届毕业生求职面试的用人单位数量</w:t>
      </w:r>
    </w:p>
    <w:p>
      <w:pPr>
        <w:numPr>
          <w:ilvl w:val="0"/>
          <w:numId w:val="0"/>
        </w:numPr>
        <w:ind w:leftChars="0" w:firstLine="560"/>
        <w:jc w:val="left"/>
        <w:rPr>
          <w:rFonts w:hint="default"/>
          <w:sz w:val="28"/>
          <w:szCs w:val="28"/>
          <w:lang w:val="en-US" w:eastAsia="zh-CN"/>
        </w:rPr>
      </w:pPr>
      <w:r>
        <w:rPr>
          <w:rFonts w:hint="default"/>
          <w:sz w:val="28"/>
          <w:szCs w:val="28"/>
          <w:lang w:val="en-US" w:eastAsia="zh-CN"/>
        </w:rPr>
        <w:drawing>
          <wp:inline distT="0" distB="0" distL="114300" distR="114300">
            <wp:extent cx="4558030" cy="2485390"/>
            <wp:effectExtent l="4445" t="4445" r="9525" b="5715"/>
            <wp:docPr id="62" name="图表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pStyle w:val="6"/>
        <w:rPr>
          <w:rFonts w:hint="default"/>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（四）未就业毕业生求职困难</w:t>
      </w:r>
    </w:p>
    <w:p>
      <w:pPr>
        <w:ind w:firstLine="560"/>
        <w:jc w:val="left"/>
        <w:rPr>
          <w:rFonts w:hint="eastAsia"/>
          <w:sz w:val="28"/>
          <w:szCs w:val="28"/>
          <w:lang w:val="en-US" w:eastAsia="zh-CN"/>
        </w:rPr>
      </w:pPr>
      <w:r>
        <w:rPr>
          <w:rFonts w:hint="eastAsia"/>
          <w:sz w:val="28"/>
          <w:szCs w:val="28"/>
          <w:lang w:val="en-US" w:eastAsia="zh-CN"/>
        </w:rPr>
        <w:t>调研数据显示，“实践经验缺乏”（35.89%）、“适合自己专业和学历的岗位不多”（35.89%）和“用人单位待遇和条件不符合预期”（26.32%）”是未就业人群遇到的主要困难。</w:t>
      </w:r>
      <w:r>
        <w:rPr>
          <w:rFonts w:hint="eastAsia"/>
          <w:sz w:val="28"/>
          <w:szCs w:val="28"/>
          <w:lang w:val="en-US" w:eastAsia="zh-CN"/>
        </w:rPr>
        <w:drawing>
          <wp:inline distT="0" distB="0" distL="114300" distR="114300">
            <wp:extent cx="5344160" cy="2191385"/>
            <wp:effectExtent l="4445" t="4445" r="23495" b="13970"/>
            <wp:docPr id="63" name="图表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4  2023届毕业生求职中遇到的困难（多选题）</w:t>
      </w:r>
    </w:p>
    <w:p>
      <w:pPr>
        <w:pStyle w:val="6"/>
        <w:rPr>
          <w:rFonts w:hint="eastAsia"/>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（五）未就业毕业生求职期望帮扶</w:t>
      </w:r>
    </w:p>
    <w:p>
      <w:pPr>
        <w:ind w:firstLine="560" w:firstLineChars="200"/>
        <w:jc w:val="left"/>
        <w:rPr>
          <w:rFonts w:hint="eastAsia"/>
          <w:sz w:val="28"/>
          <w:szCs w:val="28"/>
          <w:lang w:val="en-US" w:eastAsia="zh-CN"/>
        </w:rPr>
      </w:pPr>
      <w:r>
        <w:rPr>
          <w:rFonts w:hint="eastAsia"/>
          <w:sz w:val="28"/>
          <w:szCs w:val="28"/>
          <w:lang w:val="en-US" w:eastAsia="zh-CN"/>
        </w:rPr>
        <w:t>调研数据显示，未就业毕业生求职过程中期望得到的主要帮扶为“求职技能培训”（38.76%）、“增加职位信息发布”（28.71%）、“求职补贴”（28.71%）。</w:t>
      </w:r>
    </w:p>
    <w:p>
      <w:pPr>
        <w:pStyle w:val="10"/>
        <w:ind w:left="0" w:leftChars="0" w:firstLine="0" w:firstLineChars="0"/>
        <w:rPr>
          <w:rFonts w:hint="default"/>
          <w:sz w:val="28"/>
          <w:szCs w:val="28"/>
          <w:lang w:val="en-US" w:eastAsia="zh-CN"/>
        </w:rPr>
      </w:pPr>
      <w:r>
        <w:rPr>
          <w:rFonts w:hint="eastAsia"/>
          <w:sz w:val="28"/>
          <w:szCs w:val="28"/>
          <w:lang w:val="en-US" w:eastAsia="zh-CN"/>
        </w:rPr>
        <w:drawing>
          <wp:inline distT="0" distB="0" distL="114300" distR="114300">
            <wp:extent cx="5354955" cy="2233930"/>
            <wp:effectExtent l="4445" t="4445" r="1270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pPr>
        <w:ind w:firstLine="400" w:firstLineChars="200"/>
        <w:jc w:val="center"/>
        <w:rPr>
          <w:rFonts w:hint="eastAsia"/>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7</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5  2023届未就业毕业生期望帮扶（多选题）</w:t>
      </w:r>
    </w:p>
    <w:p>
      <w:pPr>
        <w:jc w:val="center"/>
        <w:rPr>
          <w:rFonts w:hint="eastAsia"/>
          <w:sz w:val="36"/>
          <w:szCs w:val="36"/>
          <w:highlight w:val="none"/>
          <w:lang w:val="en-US" w:eastAsia="zh-CN"/>
        </w:rPr>
      </w:pPr>
    </w:p>
    <w:p>
      <w:pPr>
        <w:jc w:val="center"/>
        <w:rPr>
          <w:rFonts w:hint="default"/>
          <w:sz w:val="36"/>
          <w:szCs w:val="36"/>
          <w:highlight w:val="none"/>
          <w:lang w:val="en-US" w:eastAsia="zh-CN"/>
        </w:rPr>
      </w:pPr>
      <w:r>
        <w:rPr>
          <w:rFonts w:hint="eastAsia"/>
          <w:sz w:val="36"/>
          <w:szCs w:val="36"/>
          <w:highlight w:val="none"/>
          <w:lang w:val="en-US" w:eastAsia="zh-CN"/>
        </w:rPr>
        <w:t>第八章 母校评价</w:t>
      </w:r>
    </w:p>
    <w:p>
      <w:pPr>
        <w:ind w:firstLine="0" w:firstLineChars="0"/>
        <w:jc w:val="left"/>
        <w:rPr>
          <w:rFonts w:hint="eastAsia"/>
          <w:sz w:val="28"/>
          <w:szCs w:val="28"/>
          <w:highlight w:val="none"/>
          <w:lang w:val="en-US" w:eastAsia="zh-CN"/>
        </w:rPr>
      </w:pPr>
      <w:r>
        <w:rPr>
          <w:rFonts w:hint="eastAsia"/>
          <w:sz w:val="28"/>
          <w:szCs w:val="28"/>
          <w:highlight w:val="none"/>
          <w:lang w:val="en-US" w:eastAsia="zh-CN"/>
        </w:rPr>
        <w:t>一、母校满意度</w:t>
      </w:r>
    </w:p>
    <w:p>
      <w:pPr>
        <w:ind w:firstLine="0" w:firstLineChars="0"/>
        <w:jc w:val="left"/>
        <w:rPr>
          <w:rFonts w:hint="eastAsia"/>
          <w:sz w:val="28"/>
          <w:szCs w:val="28"/>
          <w:highlight w:val="none"/>
          <w:lang w:val="en-US" w:eastAsia="zh-CN"/>
        </w:rPr>
      </w:pPr>
      <w:r>
        <w:rPr>
          <w:rFonts w:hint="eastAsia"/>
          <w:sz w:val="28"/>
          <w:szCs w:val="28"/>
          <w:highlight w:val="none"/>
          <w:lang w:val="en-US" w:eastAsia="zh-CN"/>
        </w:rPr>
        <w:t>（一）母校总体满意度</w:t>
      </w:r>
    </w:p>
    <w:p>
      <w:pPr>
        <w:ind w:firstLine="560" w:firstLineChars="200"/>
        <w:jc w:val="left"/>
        <w:rPr>
          <w:rFonts w:hint="default"/>
          <w:sz w:val="28"/>
          <w:szCs w:val="28"/>
          <w:highlight w:val="none"/>
          <w:lang w:val="en-US" w:eastAsia="zh-CN"/>
        </w:rPr>
      </w:pPr>
      <w:r>
        <w:rPr>
          <w:rFonts w:hint="eastAsia"/>
          <w:sz w:val="28"/>
          <w:szCs w:val="28"/>
          <w:highlight w:val="none"/>
          <w:lang w:val="en-US" w:eastAsia="zh-CN"/>
        </w:rPr>
        <w:t>调研数据显示，2023届毕业生对母校的总体满意度为95.87%，其中“非常满意”占比46.12%，“比较满意”占比32.81%，“满意 ”占比16.94%。</w:t>
      </w:r>
    </w:p>
    <w:p>
      <w:pPr>
        <w:ind w:firstLine="560" w:firstLineChars="200"/>
        <w:jc w:val="left"/>
        <w:rPr>
          <w:rFonts w:hint="eastAsia" w:eastAsia="宋体"/>
          <w:sz w:val="28"/>
          <w:szCs w:val="28"/>
          <w:highlight w:val="none"/>
          <w:lang w:val="en-US" w:eastAsia="zh-CN"/>
        </w:rPr>
      </w:pPr>
      <w:r>
        <w:rPr>
          <w:rFonts w:hint="eastAsia" w:eastAsia="宋体"/>
          <w:sz w:val="28"/>
          <w:szCs w:val="28"/>
          <w:highlight w:val="none"/>
          <w:lang w:val="en-US" w:eastAsia="zh-CN"/>
        </w:rPr>
        <w:drawing>
          <wp:inline distT="0" distB="0" distL="114300" distR="114300">
            <wp:extent cx="4462145" cy="2312035"/>
            <wp:effectExtent l="4445" t="4445" r="10160" b="7620"/>
            <wp:docPr id="54" name="图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pPr>
        <w:jc w:val="center"/>
        <w:rPr>
          <w:rFonts w:hint="default"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图</w:t>
      </w:r>
      <w:r>
        <w:rPr>
          <w:rFonts w:asciiTheme="minorEastAsia" w:hAnsiTheme="minorEastAsia" w:eastAsiaTheme="minorEastAsia"/>
          <w:sz w:val="20"/>
          <w:szCs w:val="20"/>
          <w:highlight w:val="none"/>
          <w:lang w:val="ru-RU"/>
        </w:rPr>
        <w:t xml:space="preserve"> </w:t>
      </w:r>
      <w:r>
        <w:rPr>
          <w:rFonts w:hint="eastAsia" w:asciiTheme="minorEastAsia" w:hAnsiTheme="minorEastAsia" w:eastAsiaTheme="minorEastAsia"/>
          <w:sz w:val="20"/>
          <w:szCs w:val="20"/>
          <w:highlight w:val="none"/>
          <w:lang w:val="en-US" w:eastAsia="zh-CN"/>
        </w:rPr>
        <w:t>8</w:t>
      </w:r>
      <w:r>
        <w:rPr>
          <w:rFonts w:asciiTheme="minorEastAsia" w:hAnsiTheme="minorEastAsia" w:eastAsiaTheme="minorEastAsia"/>
          <w:sz w:val="20"/>
          <w:szCs w:val="20"/>
          <w:highlight w:val="none"/>
          <w:lang w:val="ru-RU"/>
        </w:rPr>
        <w:t>-</w:t>
      </w:r>
      <w:r>
        <w:rPr>
          <w:rFonts w:hint="eastAsia" w:asciiTheme="minorEastAsia" w:hAnsiTheme="minorEastAsia" w:eastAsiaTheme="minorEastAsia"/>
          <w:sz w:val="20"/>
          <w:szCs w:val="20"/>
          <w:highlight w:val="none"/>
          <w:lang w:val="en-US" w:eastAsia="zh-CN"/>
        </w:rPr>
        <w:t>1  2023届毕业生对母校满意度</w:t>
      </w:r>
    </w:p>
    <w:p>
      <w:pPr>
        <w:jc w:val="left"/>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注：母校满意度=非常满意+比较满意+满意</w:t>
      </w:r>
    </w:p>
    <w:p>
      <w:pPr>
        <w:jc w:val="left"/>
        <w:rPr>
          <w:rFonts w:hint="default" w:asciiTheme="minorEastAsia" w:hAnsiTheme="minorEastAsia" w:eastAsiaTheme="minorEastAsia"/>
          <w:sz w:val="20"/>
          <w:szCs w:val="20"/>
          <w:lang w:val="en-US" w:eastAsia="zh-CN"/>
        </w:rPr>
      </w:pPr>
    </w:p>
    <w:p>
      <w:pPr>
        <w:ind w:firstLine="0" w:firstLineChars="0"/>
        <w:jc w:val="left"/>
        <w:rPr>
          <w:rFonts w:hint="eastAsia"/>
          <w:sz w:val="28"/>
          <w:szCs w:val="28"/>
          <w:highlight w:val="none"/>
          <w:lang w:val="en-US" w:eastAsia="zh-CN"/>
        </w:rPr>
      </w:pPr>
      <w:r>
        <w:rPr>
          <w:rFonts w:hint="eastAsia"/>
          <w:sz w:val="28"/>
          <w:szCs w:val="28"/>
          <w:highlight w:val="none"/>
          <w:lang w:val="en-US" w:eastAsia="zh-CN"/>
        </w:rPr>
        <w:t>（二）母校推荐度</w:t>
      </w:r>
    </w:p>
    <w:p>
      <w:pPr>
        <w:ind w:firstLine="560" w:firstLineChars="200"/>
        <w:jc w:val="left"/>
        <w:rPr>
          <w:rFonts w:hint="eastAsia"/>
          <w:sz w:val="28"/>
          <w:szCs w:val="28"/>
          <w:highlight w:val="none"/>
          <w:lang w:val="en-US" w:eastAsia="zh-CN"/>
        </w:rPr>
      </w:pPr>
      <w:r>
        <w:rPr>
          <w:rFonts w:hint="eastAsia"/>
          <w:sz w:val="28"/>
          <w:szCs w:val="28"/>
          <w:lang w:val="en-US" w:eastAsia="zh-CN"/>
        </w:rPr>
        <w:t>调研数据显示，</w:t>
      </w:r>
      <w:r>
        <w:rPr>
          <w:rFonts w:hint="eastAsia"/>
          <w:sz w:val="28"/>
          <w:szCs w:val="28"/>
          <w:highlight w:val="none"/>
          <w:lang w:val="en-US" w:eastAsia="zh-CN"/>
        </w:rPr>
        <w:t>2023届毕业生对母校的总体推荐度为92.6%，其中“非常愿意”占比38.08，“比较愿意”占比38.21%，“愿意”占比16.31%。</w:t>
      </w:r>
    </w:p>
    <w:p>
      <w:pPr>
        <w:ind w:firstLine="560" w:firstLineChars="200"/>
        <w:jc w:val="left"/>
        <w:rPr>
          <w:rFonts w:hint="eastAsia" w:eastAsia="宋体"/>
          <w:sz w:val="28"/>
          <w:szCs w:val="28"/>
          <w:lang w:val="en-US" w:eastAsia="zh-CN"/>
        </w:rPr>
      </w:pPr>
      <w:r>
        <w:rPr>
          <w:rFonts w:hint="eastAsia" w:eastAsia="宋体"/>
          <w:sz w:val="28"/>
          <w:szCs w:val="28"/>
          <w:lang w:val="en-US" w:eastAsia="zh-CN"/>
        </w:rPr>
        <w:drawing>
          <wp:inline distT="0" distB="0" distL="114300" distR="114300">
            <wp:extent cx="4137025" cy="1845310"/>
            <wp:effectExtent l="4445" t="4445" r="11430" b="17145"/>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8</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2023届毕业生对母校推荐度</w:t>
      </w:r>
    </w:p>
    <w:p>
      <w:p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注：母校推荐度=非常愿意+比较愿意+愿意</w:t>
      </w:r>
    </w:p>
    <w:p>
      <w:pPr>
        <w:jc w:val="left"/>
        <w:rPr>
          <w:rFonts w:hint="default" w:asciiTheme="minorEastAsia" w:hAnsiTheme="minorEastAsia" w:eastAsiaTheme="minorEastAsia"/>
          <w:sz w:val="20"/>
          <w:szCs w:val="20"/>
          <w:lang w:val="en-US" w:eastAsia="zh-CN"/>
        </w:rPr>
      </w:pPr>
    </w:p>
    <w:p>
      <w:pPr>
        <w:ind w:firstLine="0" w:firstLineChars="0"/>
        <w:jc w:val="left"/>
        <w:rPr>
          <w:rFonts w:hint="default" w:eastAsia="宋体"/>
          <w:sz w:val="28"/>
          <w:szCs w:val="28"/>
          <w:highlight w:val="none"/>
          <w:lang w:val="en-US" w:eastAsia="zh-CN"/>
        </w:rPr>
      </w:pPr>
      <w:r>
        <w:rPr>
          <w:rFonts w:hint="eastAsia"/>
          <w:sz w:val="28"/>
          <w:szCs w:val="28"/>
          <w:highlight w:val="none"/>
          <w:lang w:val="en-US" w:eastAsia="zh-CN"/>
        </w:rPr>
        <w:t>二、教育教学评价</w:t>
      </w:r>
    </w:p>
    <w:p>
      <w:pPr>
        <w:ind w:firstLine="560" w:firstLineChars="200"/>
        <w:jc w:val="left"/>
        <w:rPr>
          <w:rFonts w:hint="eastAsia"/>
          <w:sz w:val="28"/>
          <w:szCs w:val="28"/>
          <w:highlight w:val="none"/>
        </w:rPr>
      </w:pPr>
      <w:r>
        <w:rPr>
          <w:rFonts w:hint="eastAsia"/>
          <w:sz w:val="28"/>
          <w:szCs w:val="28"/>
          <w:highlight w:val="none"/>
        </w:rPr>
        <w:t>近年来学</w:t>
      </w:r>
      <w:r>
        <w:rPr>
          <w:rFonts w:hint="eastAsia"/>
          <w:sz w:val="28"/>
          <w:szCs w:val="28"/>
          <w:highlight w:val="none"/>
          <w:lang w:val="en-US" w:eastAsia="zh-CN"/>
        </w:rPr>
        <w:t>校</w:t>
      </w:r>
      <w:r>
        <w:rPr>
          <w:rFonts w:hint="eastAsia"/>
          <w:sz w:val="28"/>
          <w:szCs w:val="28"/>
          <w:highlight w:val="none"/>
        </w:rPr>
        <w:t>本着以就业为导向，以服务为宗旨的理念深化教育教学改革，</w:t>
      </w:r>
      <w:r>
        <w:rPr>
          <w:rFonts w:hint="eastAsia"/>
          <w:sz w:val="28"/>
          <w:szCs w:val="28"/>
          <w:highlight w:val="none"/>
          <w:lang w:val="en-US" w:eastAsia="zh-CN"/>
        </w:rPr>
        <w:t>以“严谨、博学、敬业、奉献”的教风</w:t>
      </w:r>
      <w:r>
        <w:rPr>
          <w:rFonts w:hint="eastAsia"/>
          <w:sz w:val="28"/>
          <w:szCs w:val="28"/>
          <w:highlight w:val="none"/>
        </w:rPr>
        <w:t>加强专业技能课程教学和技能培训，取得了良好的效果，本届毕业生对学</w:t>
      </w:r>
      <w:r>
        <w:rPr>
          <w:rFonts w:hint="eastAsia"/>
          <w:sz w:val="28"/>
          <w:szCs w:val="28"/>
          <w:highlight w:val="none"/>
          <w:lang w:val="en-US" w:eastAsia="zh-CN"/>
        </w:rPr>
        <w:t>校</w:t>
      </w:r>
      <w:r>
        <w:rPr>
          <w:rFonts w:hint="eastAsia"/>
          <w:sz w:val="28"/>
          <w:szCs w:val="28"/>
          <w:highlight w:val="none"/>
        </w:rPr>
        <w:t>教学工作满意度为</w:t>
      </w:r>
      <w:r>
        <w:rPr>
          <w:rFonts w:hint="eastAsia"/>
          <w:sz w:val="28"/>
          <w:szCs w:val="28"/>
          <w:highlight w:val="none"/>
          <w:lang w:val="en-US" w:eastAsia="zh-CN"/>
        </w:rPr>
        <w:t>89.78</w:t>
      </w:r>
      <w:r>
        <w:rPr>
          <w:rFonts w:hint="eastAsia"/>
          <w:sz w:val="28"/>
          <w:szCs w:val="28"/>
          <w:highlight w:val="none"/>
        </w:rPr>
        <w:t>%。</w:t>
      </w:r>
    </w:p>
    <w:p>
      <w:pPr>
        <w:ind w:firstLine="0" w:firstLineChars="0"/>
        <w:jc w:val="left"/>
        <w:rPr>
          <w:rFonts w:hint="default" w:eastAsia="宋体"/>
          <w:sz w:val="28"/>
          <w:szCs w:val="28"/>
          <w:highlight w:val="none"/>
          <w:lang w:val="en-US" w:eastAsia="zh-CN"/>
        </w:rPr>
      </w:pPr>
      <w:r>
        <w:rPr>
          <w:rFonts w:hint="eastAsia"/>
          <w:sz w:val="28"/>
          <w:szCs w:val="28"/>
          <w:highlight w:val="none"/>
          <w:lang w:eastAsia="zh-CN"/>
        </w:rPr>
        <w:t>（</w:t>
      </w:r>
      <w:r>
        <w:rPr>
          <w:rFonts w:hint="eastAsia"/>
          <w:sz w:val="28"/>
          <w:szCs w:val="28"/>
          <w:highlight w:val="none"/>
          <w:lang w:val="en-US" w:eastAsia="zh-CN"/>
        </w:rPr>
        <w:t>一</w:t>
      </w:r>
      <w:r>
        <w:rPr>
          <w:rFonts w:hint="eastAsia"/>
          <w:sz w:val="28"/>
          <w:szCs w:val="28"/>
          <w:highlight w:val="none"/>
          <w:lang w:eastAsia="zh-CN"/>
        </w:rPr>
        <w:t>）</w:t>
      </w:r>
      <w:r>
        <w:rPr>
          <w:rFonts w:hint="eastAsia"/>
          <w:sz w:val="28"/>
          <w:szCs w:val="28"/>
          <w:highlight w:val="none"/>
          <w:lang w:val="en-US" w:eastAsia="zh-CN"/>
        </w:rPr>
        <w:t>对老师们的整体授课水平评价</w:t>
      </w:r>
    </w:p>
    <w:p>
      <w:pPr>
        <w:ind w:firstLine="560" w:firstLineChars="200"/>
        <w:jc w:val="left"/>
        <w:rPr>
          <w:rFonts w:hint="eastAsia"/>
          <w:sz w:val="28"/>
          <w:szCs w:val="28"/>
          <w:highlight w:val="none"/>
        </w:rPr>
      </w:pPr>
      <w:r>
        <w:rPr>
          <w:rFonts w:hint="eastAsia"/>
          <w:sz w:val="28"/>
          <w:szCs w:val="28"/>
          <w:highlight w:val="none"/>
          <w:lang w:val="en-US" w:eastAsia="zh-CN"/>
        </w:rPr>
        <w:t>调研数据显示，2023届毕业生对老师们的整体授课水平评价较高，其中“非常高”占比17.06%，“高”占比45.89%。</w:t>
      </w:r>
    </w:p>
    <w:p>
      <w:pPr>
        <w:ind w:firstLine="560" w:firstLineChars="200"/>
        <w:jc w:val="left"/>
        <w:rPr>
          <w:sz w:val="28"/>
          <w:szCs w:val="28"/>
          <w:highlight w:val="none"/>
        </w:rPr>
      </w:pPr>
      <w:r>
        <w:rPr>
          <w:sz w:val="28"/>
          <w:szCs w:val="28"/>
          <w:highlight w:val="none"/>
        </w:rPr>
        <w:drawing>
          <wp:inline distT="0" distB="0" distL="0" distR="0">
            <wp:extent cx="4678045" cy="2632075"/>
            <wp:effectExtent l="4445" t="4445" r="22860" b="11430"/>
            <wp:docPr id="48"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图</w:t>
      </w:r>
      <w:r>
        <w:rPr>
          <w:rFonts w:hint="eastAsia" w:asciiTheme="minorEastAsia" w:hAnsiTheme="minorEastAsia" w:eastAsiaTheme="minorEastAsia"/>
          <w:sz w:val="20"/>
          <w:szCs w:val="20"/>
          <w:highlight w:val="none"/>
          <w:lang w:val="en-US" w:eastAsia="zh-CN"/>
        </w:rPr>
        <w:t>8</w:t>
      </w:r>
      <w:r>
        <w:rPr>
          <w:rFonts w:hint="eastAsia"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lang w:val="en-US" w:eastAsia="zh-CN"/>
        </w:rPr>
        <w:t>3</w:t>
      </w:r>
      <w:r>
        <w:rPr>
          <w:rFonts w:hint="eastAsia" w:asciiTheme="minorEastAsia" w:hAnsiTheme="minorEastAsia" w:eastAsiaTheme="minorEastAsia"/>
          <w:sz w:val="20"/>
          <w:szCs w:val="20"/>
          <w:highlight w:val="none"/>
        </w:rPr>
        <w:t xml:space="preserve">  20</w:t>
      </w:r>
      <w:r>
        <w:rPr>
          <w:rFonts w:hint="eastAsia" w:asciiTheme="minorEastAsia" w:hAnsiTheme="minorEastAsia" w:eastAsiaTheme="minorEastAsia"/>
          <w:sz w:val="20"/>
          <w:szCs w:val="20"/>
          <w:highlight w:val="none"/>
          <w:lang w:val="en-US" w:eastAsia="zh-CN"/>
        </w:rPr>
        <w:t>23</w:t>
      </w:r>
      <w:r>
        <w:rPr>
          <w:rFonts w:hint="eastAsia" w:asciiTheme="minorEastAsia" w:hAnsiTheme="minorEastAsia" w:eastAsiaTheme="minorEastAsia"/>
          <w:sz w:val="20"/>
          <w:szCs w:val="20"/>
          <w:highlight w:val="none"/>
        </w:rPr>
        <w:t>届毕业生对</w:t>
      </w:r>
      <w:r>
        <w:rPr>
          <w:rFonts w:hint="eastAsia" w:asciiTheme="minorEastAsia" w:hAnsiTheme="minorEastAsia" w:eastAsiaTheme="minorEastAsia"/>
          <w:sz w:val="20"/>
          <w:szCs w:val="20"/>
          <w:highlight w:val="none"/>
          <w:lang w:val="en-US" w:eastAsia="zh-CN"/>
        </w:rPr>
        <w:t>老师们整体授课水平评价</w:t>
      </w:r>
    </w:p>
    <w:p>
      <w:pPr>
        <w:jc w:val="center"/>
        <w:rPr>
          <w:rFonts w:hint="default" w:asciiTheme="minorEastAsia" w:hAnsiTheme="minorEastAsia" w:eastAsiaTheme="minorEastAsia"/>
          <w:sz w:val="20"/>
          <w:szCs w:val="20"/>
          <w:highlight w:val="none"/>
          <w:lang w:val="en-US" w:eastAsia="zh-CN"/>
        </w:rPr>
      </w:pPr>
    </w:p>
    <w:p>
      <w:pPr>
        <w:ind w:firstLine="0" w:firstLineChars="0"/>
        <w:jc w:val="left"/>
        <w:rPr>
          <w:rFonts w:hint="default" w:eastAsia="宋体"/>
          <w:sz w:val="28"/>
          <w:szCs w:val="28"/>
          <w:highlight w:val="none"/>
          <w:lang w:val="en-US" w:eastAsia="zh-CN"/>
        </w:rPr>
      </w:pPr>
      <w:r>
        <w:rPr>
          <w:rFonts w:hint="eastAsia"/>
          <w:sz w:val="28"/>
          <w:szCs w:val="28"/>
          <w:highlight w:val="none"/>
          <w:lang w:eastAsia="zh-CN"/>
        </w:rPr>
        <w:t>（</w:t>
      </w:r>
      <w:r>
        <w:rPr>
          <w:rFonts w:hint="eastAsia"/>
          <w:sz w:val="28"/>
          <w:szCs w:val="28"/>
          <w:highlight w:val="none"/>
          <w:lang w:val="en-US" w:eastAsia="zh-CN"/>
        </w:rPr>
        <w:t>二</w:t>
      </w:r>
      <w:r>
        <w:rPr>
          <w:rFonts w:hint="eastAsia"/>
          <w:sz w:val="28"/>
          <w:szCs w:val="28"/>
          <w:highlight w:val="none"/>
          <w:lang w:eastAsia="zh-CN"/>
        </w:rPr>
        <w:t>）</w:t>
      </w:r>
      <w:r>
        <w:rPr>
          <w:rFonts w:hint="eastAsia"/>
          <w:sz w:val="28"/>
          <w:szCs w:val="28"/>
          <w:highlight w:val="none"/>
          <w:lang w:val="en-US" w:eastAsia="zh-CN"/>
        </w:rPr>
        <w:t>对学校的课程安排合理性评价</w:t>
      </w:r>
    </w:p>
    <w:p>
      <w:pPr>
        <w:ind w:firstLine="560" w:firstLineChars="200"/>
        <w:jc w:val="center"/>
        <w:rPr>
          <w:rFonts w:hint="eastAsia" w:asciiTheme="minorEastAsia" w:hAnsiTheme="minorEastAsia" w:eastAsiaTheme="minorEastAsia"/>
          <w:sz w:val="20"/>
          <w:szCs w:val="20"/>
          <w:highlight w:val="none"/>
        </w:rPr>
      </w:pPr>
      <w:r>
        <w:rPr>
          <w:rFonts w:hint="eastAsia"/>
          <w:sz w:val="28"/>
          <w:szCs w:val="28"/>
          <w:highlight w:val="none"/>
          <w:lang w:val="en-US" w:eastAsia="zh-CN"/>
        </w:rPr>
        <w:t xml:space="preserve">调研数据显示，2023届毕业生有14.76%认为学校的课程安排的“非常合理”，35.44%认为“比较合理”，36.59%认为“合理”。           </w:t>
      </w:r>
      <w:r>
        <w:rPr>
          <w:sz w:val="28"/>
          <w:szCs w:val="28"/>
          <w:highlight w:val="none"/>
        </w:rPr>
        <w:drawing>
          <wp:inline distT="0" distB="0" distL="0" distR="0">
            <wp:extent cx="4384675" cy="2503170"/>
            <wp:effectExtent l="4445" t="4445" r="11430" b="6985"/>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图</w:t>
      </w:r>
      <w:r>
        <w:rPr>
          <w:rFonts w:hint="eastAsia" w:asciiTheme="minorEastAsia" w:hAnsiTheme="minorEastAsia" w:eastAsiaTheme="minorEastAsia"/>
          <w:sz w:val="20"/>
          <w:szCs w:val="20"/>
          <w:highlight w:val="none"/>
          <w:lang w:val="en-US" w:eastAsia="zh-CN"/>
        </w:rPr>
        <w:t>8</w:t>
      </w:r>
      <w:r>
        <w:rPr>
          <w:rFonts w:hint="eastAsia"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lang w:val="en-US" w:eastAsia="zh-CN"/>
        </w:rPr>
        <w:t>4</w:t>
      </w:r>
      <w:r>
        <w:rPr>
          <w:rFonts w:hint="eastAsia" w:asciiTheme="minorEastAsia" w:hAnsiTheme="minorEastAsia" w:eastAsiaTheme="minorEastAsia"/>
          <w:sz w:val="20"/>
          <w:szCs w:val="20"/>
          <w:highlight w:val="none"/>
        </w:rPr>
        <w:t xml:space="preserve">  20</w:t>
      </w:r>
      <w:r>
        <w:rPr>
          <w:rFonts w:hint="eastAsia" w:asciiTheme="minorEastAsia" w:hAnsiTheme="minorEastAsia" w:eastAsiaTheme="minorEastAsia"/>
          <w:sz w:val="20"/>
          <w:szCs w:val="20"/>
          <w:highlight w:val="none"/>
          <w:lang w:val="en-US" w:eastAsia="zh-CN"/>
        </w:rPr>
        <w:t>23</w:t>
      </w:r>
      <w:r>
        <w:rPr>
          <w:rFonts w:hint="eastAsia" w:asciiTheme="minorEastAsia" w:hAnsiTheme="minorEastAsia" w:eastAsiaTheme="minorEastAsia"/>
          <w:sz w:val="20"/>
          <w:szCs w:val="20"/>
          <w:highlight w:val="none"/>
        </w:rPr>
        <w:t>届毕业生对学</w:t>
      </w:r>
      <w:r>
        <w:rPr>
          <w:rFonts w:hint="eastAsia" w:asciiTheme="minorEastAsia" w:hAnsiTheme="minorEastAsia" w:eastAsiaTheme="minorEastAsia"/>
          <w:sz w:val="20"/>
          <w:szCs w:val="20"/>
          <w:highlight w:val="none"/>
          <w:lang w:val="en-US" w:eastAsia="zh-CN"/>
        </w:rPr>
        <w:t>校的课程安排合理性评价</w:t>
      </w:r>
    </w:p>
    <w:p>
      <w:pPr>
        <w:jc w:val="center"/>
        <w:rPr>
          <w:rFonts w:hint="eastAsia" w:asciiTheme="minorEastAsia" w:hAnsiTheme="minorEastAsia" w:eastAsiaTheme="minorEastAsia"/>
          <w:sz w:val="20"/>
          <w:szCs w:val="20"/>
          <w:highlight w:val="none"/>
          <w:lang w:val="en-US" w:eastAsia="zh-CN"/>
        </w:rPr>
      </w:pPr>
    </w:p>
    <w:p>
      <w:pPr>
        <w:ind w:firstLine="0" w:firstLineChars="0"/>
        <w:jc w:val="left"/>
        <w:rPr>
          <w:rFonts w:hint="default" w:eastAsia="宋体"/>
          <w:sz w:val="28"/>
          <w:szCs w:val="28"/>
          <w:highlight w:val="none"/>
          <w:lang w:val="en-US" w:eastAsia="zh-CN"/>
        </w:rPr>
      </w:pPr>
      <w:r>
        <w:rPr>
          <w:rFonts w:hint="eastAsia"/>
          <w:sz w:val="28"/>
          <w:szCs w:val="28"/>
          <w:highlight w:val="none"/>
          <w:lang w:eastAsia="zh-CN"/>
        </w:rPr>
        <w:t>（</w:t>
      </w:r>
      <w:r>
        <w:rPr>
          <w:rFonts w:hint="eastAsia"/>
          <w:sz w:val="28"/>
          <w:szCs w:val="28"/>
          <w:highlight w:val="none"/>
          <w:lang w:val="en-US" w:eastAsia="zh-CN"/>
        </w:rPr>
        <w:t>三</w:t>
      </w:r>
      <w:r>
        <w:rPr>
          <w:rFonts w:hint="eastAsia"/>
          <w:sz w:val="28"/>
          <w:szCs w:val="28"/>
          <w:highlight w:val="none"/>
          <w:lang w:eastAsia="zh-CN"/>
        </w:rPr>
        <w:t>）</w:t>
      </w:r>
      <w:r>
        <w:rPr>
          <w:rFonts w:hint="eastAsia"/>
          <w:sz w:val="28"/>
          <w:szCs w:val="28"/>
          <w:highlight w:val="none"/>
          <w:lang w:val="en-US" w:eastAsia="zh-CN"/>
        </w:rPr>
        <w:t>对学校的实践教学（课程实践、实习实训、科研训练、学科竞赛等）水平评价</w:t>
      </w:r>
    </w:p>
    <w:p>
      <w:pPr>
        <w:ind w:firstLine="560" w:firstLineChars="200"/>
        <w:jc w:val="left"/>
        <w:rPr>
          <w:rFonts w:hint="eastAsia"/>
          <w:sz w:val="28"/>
          <w:szCs w:val="28"/>
          <w:highlight w:val="none"/>
          <w:lang w:val="en-US" w:eastAsia="zh-CN"/>
        </w:rPr>
      </w:pPr>
      <w:r>
        <w:rPr>
          <w:rFonts w:hint="eastAsia"/>
          <w:sz w:val="28"/>
          <w:szCs w:val="28"/>
          <w:highlight w:val="none"/>
          <w:lang w:val="en-US" w:eastAsia="zh-CN"/>
        </w:rPr>
        <w:t>调研数据显示，2023届毕业生有14.36%认为学校的实践教学水平的“非常好”，32.63%的学生认为“比较好”，38.08%的学生认为“好”。</w:t>
      </w:r>
    </w:p>
    <w:p>
      <w:pPr>
        <w:ind w:firstLine="840" w:firstLineChars="300"/>
        <w:jc w:val="left"/>
        <w:rPr>
          <w:rFonts w:hint="eastAsia"/>
          <w:sz w:val="28"/>
          <w:szCs w:val="28"/>
          <w:highlight w:val="none"/>
          <w:lang w:val="en-US" w:eastAsia="zh-CN"/>
        </w:rPr>
      </w:pPr>
      <w:r>
        <w:rPr>
          <w:sz w:val="28"/>
          <w:szCs w:val="28"/>
          <w:highlight w:val="none"/>
        </w:rPr>
        <w:drawing>
          <wp:inline distT="0" distB="0" distL="0" distR="0">
            <wp:extent cx="4004310" cy="2146300"/>
            <wp:effectExtent l="4445" t="4445" r="10795" b="20955"/>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图</w:t>
      </w:r>
      <w:r>
        <w:rPr>
          <w:rFonts w:hint="eastAsia" w:asciiTheme="minorEastAsia" w:hAnsiTheme="minorEastAsia" w:eastAsiaTheme="minorEastAsia"/>
          <w:sz w:val="20"/>
          <w:szCs w:val="20"/>
          <w:highlight w:val="none"/>
          <w:lang w:val="en-US" w:eastAsia="zh-CN"/>
        </w:rPr>
        <w:t>8</w:t>
      </w:r>
      <w:r>
        <w:rPr>
          <w:rFonts w:hint="eastAsia"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lang w:val="en-US" w:eastAsia="zh-CN"/>
        </w:rPr>
        <w:t>5</w:t>
      </w:r>
      <w:r>
        <w:rPr>
          <w:rFonts w:hint="eastAsia" w:asciiTheme="minorEastAsia" w:hAnsiTheme="minorEastAsia" w:eastAsiaTheme="minorEastAsia"/>
          <w:sz w:val="20"/>
          <w:szCs w:val="20"/>
          <w:highlight w:val="none"/>
        </w:rPr>
        <w:t xml:space="preserve">  20</w:t>
      </w:r>
      <w:r>
        <w:rPr>
          <w:rFonts w:hint="eastAsia" w:asciiTheme="minorEastAsia" w:hAnsiTheme="minorEastAsia" w:eastAsiaTheme="minorEastAsia"/>
          <w:sz w:val="20"/>
          <w:szCs w:val="20"/>
          <w:highlight w:val="none"/>
          <w:lang w:val="en-US" w:eastAsia="zh-CN"/>
        </w:rPr>
        <w:t>23</w:t>
      </w:r>
      <w:r>
        <w:rPr>
          <w:rFonts w:hint="eastAsia" w:asciiTheme="minorEastAsia" w:hAnsiTheme="minorEastAsia" w:eastAsiaTheme="minorEastAsia"/>
          <w:sz w:val="20"/>
          <w:szCs w:val="20"/>
          <w:highlight w:val="none"/>
        </w:rPr>
        <w:t>届毕业生对学</w:t>
      </w:r>
      <w:r>
        <w:rPr>
          <w:rFonts w:hint="eastAsia" w:asciiTheme="minorEastAsia" w:hAnsiTheme="minorEastAsia" w:eastAsiaTheme="minorEastAsia"/>
          <w:sz w:val="20"/>
          <w:szCs w:val="20"/>
          <w:highlight w:val="none"/>
          <w:lang w:val="en-US" w:eastAsia="zh-CN"/>
        </w:rPr>
        <w:t>校的实践教学水平评价</w:t>
      </w:r>
    </w:p>
    <w:p>
      <w:pPr>
        <w:pStyle w:val="6"/>
        <w:rPr>
          <w:rFonts w:hint="eastAsia"/>
          <w:lang w:val="en-US" w:eastAsia="zh-CN"/>
        </w:rPr>
      </w:pPr>
    </w:p>
    <w:p>
      <w:pPr>
        <w:ind w:firstLine="0" w:firstLineChars="0"/>
        <w:jc w:val="left"/>
        <w:rPr>
          <w:rFonts w:hint="default" w:eastAsia="宋体"/>
          <w:sz w:val="28"/>
          <w:szCs w:val="28"/>
          <w:highlight w:val="none"/>
          <w:lang w:val="en-US" w:eastAsia="zh-CN"/>
        </w:rPr>
      </w:pPr>
      <w:r>
        <w:rPr>
          <w:rFonts w:hint="eastAsia"/>
          <w:sz w:val="28"/>
          <w:szCs w:val="28"/>
          <w:highlight w:val="none"/>
          <w:lang w:val="en-US" w:eastAsia="zh-CN"/>
        </w:rPr>
        <w:t>三、就业创业服务评价</w:t>
      </w:r>
    </w:p>
    <w:p>
      <w:pPr>
        <w:ind w:firstLine="560" w:firstLineChars="200"/>
        <w:jc w:val="left"/>
        <w:rPr>
          <w:sz w:val="28"/>
          <w:szCs w:val="28"/>
        </w:rPr>
      </w:pPr>
      <w:r>
        <w:rPr>
          <w:rFonts w:hint="eastAsia"/>
          <w:sz w:val="28"/>
          <w:szCs w:val="28"/>
          <w:highlight w:val="none"/>
        </w:rPr>
        <w:t>学</w:t>
      </w:r>
      <w:r>
        <w:rPr>
          <w:rFonts w:hint="eastAsia"/>
          <w:sz w:val="28"/>
          <w:szCs w:val="28"/>
          <w:highlight w:val="none"/>
          <w:lang w:val="en-US" w:eastAsia="zh-CN"/>
        </w:rPr>
        <w:t>校</w:t>
      </w:r>
      <w:r>
        <w:rPr>
          <w:rFonts w:hint="eastAsia"/>
          <w:sz w:val="28"/>
          <w:szCs w:val="28"/>
          <w:highlight w:val="none"/>
        </w:rPr>
        <w:t>一直高度重视毕业生就业工作，认真落实就业工作人员、经费、场地，并建立了完善的就业工作机制</w:t>
      </w:r>
      <w:r>
        <w:rPr>
          <w:rFonts w:hint="eastAsia"/>
          <w:sz w:val="28"/>
          <w:szCs w:val="28"/>
          <w:highlight w:val="none"/>
          <w:lang w:eastAsia="zh-CN"/>
        </w:rPr>
        <w:t>。</w:t>
      </w:r>
      <w:r>
        <w:rPr>
          <w:rFonts w:hint="eastAsia"/>
          <w:sz w:val="28"/>
          <w:szCs w:val="28"/>
          <w:highlight w:val="none"/>
          <w:lang w:val="en-US" w:eastAsia="zh-CN"/>
        </w:rPr>
        <w:t>以市场为导向，服务区域经济社会发展，</w:t>
      </w:r>
      <w:r>
        <w:rPr>
          <w:rFonts w:hint="eastAsia"/>
          <w:sz w:val="28"/>
          <w:szCs w:val="28"/>
          <w:highlight w:val="none"/>
        </w:rPr>
        <w:t>积极开展毕业生就业工作，得到了广大毕业生的认</w:t>
      </w:r>
      <w:r>
        <w:rPr>
          <w:rFonts w:hint="eastAsia"/>
          <w:sz w:val="28"/>
          <w:szCs w:val="28"/>
          <w:highlight w:val="none"/>
          <w:lang w:val="en-US" w:eastAsia="zh-CN"/>
        </w:rPr>
        <w:t>可</w:t>
      </w:r>
      <w:r>
        <w:rPr>
          <w:rFonts w:hint="eastAsia"/>
          <w:sz w:val="28"/>
          <w:szCs w:val="28"/>
          <w:highlight w:val="none"/>
        </w:rPr>
        <w:t>。本</w:t>
      </w:r>
      <w:r>
        <w:rPr>
          <w:rFonts w:hint="eastAsia"/>
          <w:sz w:val="28"/>
          <w:szCs w:val="28"/>
        </w:rPr>
        <w:t>届毕业生对学</w:t>
      </w:r>
      <w:r>
        <w:rPr>
          <w:rFonts w:hint="eastAsia"/>
          <w:sz w:val="28"/>
          <w:szCs w:val="28"/>
          <w:lang w:val="en-US" w:eastAsia="zh-CN"/>
        </w:rPr>
        <w:t>校</w:t>
      </w:r>
      <w:r>
        <w:rPr>
          <w:rFonts w:hint="eastAsia"/>
          <w:sz w:val="28"/>
          <w:szCs w:val="28"/>
        </w:rPr>
        <w:t>就业工作满意度为</w:t>
      </w:r>
      <w:r>
        <w:rPr>
          <w:rFonts w:hint="eastAsia"/>
          <w:sz w:val="28"/>
          <w:szCs w:val="28"/>
          <w:highlight w:val="none"/>
          <w:lang w:val="en-US" w:eastAsia="zh-CN"/>
        </w:rPr>
        <w:t>95.1%</w:t>
      </w:r>
      <w:r>
        <w:rPr>
          <w:rFonts w:hint="eastAsia"/>
          <w:sz w:val="28"/>
          <w:szCs w:val="28"/>
          <w:highlight w:val="none"/>
        </w:rPr>
        <w:t>。</w:t>
      </w:r>
      <w:r>
        <w:rPr>
          <w:sz w:val="28"/>
          <w:szCs w:val="28"/>
        </w:rPr>
        <w:drawing>
          <wp:inline distT="0" distB="0" distL="0" distR="0">
            <wp:extent cx="5043805" cy="2505710"/>
            <wp:effectExtent l="4445" t="4445" r="19050" b="23495"/>
            <wp:docPr id="50" name="图表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pPr>
        <w:jc w:val="center"/>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rPr>
        <w:t>图</w:t>
      </w:r>
      <w:r>
        <w:rPr>
          <w:rFonts w:hint="eastAsia" w:asciiTheme="minorEastAsia" w:hAnsiTheme="minorEastAsia" w:eastAsiaTheme="minorEastAsia"/>
          <w:sz w:val="20"/>
          <w:szCs w:val="20"/>
          <w:lang w:val="en-US" w:eastAsia="zh-CN"/>
        </w:rPr>
        <w:t>8</w:t>
      </w:r>
      <w:r>
        <w:rPr>
          <w:rFonts w:hint="eastAsia" w:asciiTheme="minorEastAsia" w:hAnsiTheme="minorEastAsia" w:eastAsiaTheme="minorEastAsia"/>
          <w:sz w:val="20"/>
          <w:szCs w:val="20"/>
        </w:rPr>
        <w:t>-</w:t>
      </w:r>
      <w:r>
        <w:rPr>
          <w:rFonts w:hint="eastAsia" w:asciiTheme="minorEastAsia" w:hAnsiTheme="minorEastAsia" w:eastAsiaTheme="minorEastAsia"/>
          <w:sz w:val="20"/>
          <w:szCs w:val="20"/>
          <w:lang w:val="en-US" w:eastAsia="zh-CN"/>
        </w:rPr>
        <w:t>6</w:t>
      </w:r>
      <w:r>
        <w:rPr>
          <w:rFonts w:hint="eastAsia" w:asciiTheme="minorEastAsia" w:hAnsiTheme="minorEastAsia" w:eastAsiaTheme="minorEastAsia"/>
          <w:sz w:val="20"/>
          <w:szCs w:val="20"/>
        </w:rPr>
        <w:t xml:space="preserve">  </w:t>
      </w:r>
      <w:r>
        <w:rPr>
          <w:rFonts w:hint="eastAsia" w:asciiTheme="minorEastAsia" w:hAnsiTheme="minorEastAsia" w:eastAsiaTheme="minorEastAsia"/>
          <w:sz w:val="20"/>
          <w:szCs w:val="20"/>
          <w:highlight w:val="none"/>
        </w:rPr>
        <w:t>20</w:t>
      </w:r>
      <w:r>
        <w:rPr>
          <w:rFonts w:hint="eastAsia" w:asciiTheme="minorEastAsia" w:hAnsiTheme="minorEastAsia" w:eastAsiaTheme="minorEastAsia"/>
          <w:sz w:val="20"/>
          <w:szCs w:val="20"/>
          <w:highlight w:val="none"/>
          <w:lang w:val="en-US" w:eastAsia="zh-CN"/>
        </w:rPr>
        <w:t>23</w:t>
      </w:r>
      <w:r>
        <w:rPr>
          <w:rFonts w:hint="eastAsia" w:asciiTheme="minorEastAsia" w:hAnsiTheme="minorEastAsia" w:eastAsiaTheme="minorEastAsia"/>
          <w:sz w:val="20"/>
          <w:szCs w:val="20"/>
          <w:highlight w:val="none"/>
        </w:rPr>
        <w:t>届毕业生对</w:t>
      </w:r>
      <w:r>
        <w:rPr>
          <w:rFonts w:hint="eastAsia" w:asciiTheme="minorEastAsia" w:hAnsiTheme="minorEastAsia" w:eastAsiaTheme="minorEastAsia"/>
          <w:sz w:val="20"/>
          <w:szCs w:val="20"/>
          <w:highlight w:val="none"/>
          <w:lang w:val="en-US" w:eastAsia="zh-CN"/>
        </w:rPr>
        <w:t>就业创业服务评价</w:t>
      </w:r>
    </w:p>
    <w:p>
      <w:pPr>
        <w:pStyle w:val="6"/>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pStyle w:val="2"/>
        <w:rPr>
          <w:rFonts w:hint="eastAsia"/>
          <w:lang w:val="en-US" w:eastAsia="zh-CN"/>
        </w:rPr>
      </w:pPr>
    </w:p>
    <w:p>
      <w:pPr>
        <w:rPr>
          <w:rFonts w:hint="eastAsia"/>
          <w:lang w:val="en-US" w:eastAsia="zh-CN"/>
        </w:rPr>
      </w:pPr>
    </w:p>
    <w:p>
      <w:pPr>
        <w:pStyle w:val="6"/>
        <w:rPr>
          <w:rFonts w:hint="eastAsia"/>
          <w:lang w:val="en-US" w:eastAsia="zh-CN"/>
        </w:rPr>
      </w:pPr>
    </w:p>
    <w:p>
      <w:pPr>
        <w:rPr>
          <w:rFonts w:hint="eastAsia"/>
          <w:lang w:val="en-US" w:eastAsia="zh-CN"/>
        </w:rPr>
      </w:pPr>
    </w:p>
    <w:p>
      <w:pPr>
        <w:pStyle w:val="2"/>
        <w:ind w:left="0" w:leftChars="0" w:firstLine="0" w:firstLineChars="0"/>
        <w:rPr>
          <w:rFonts w:hint="eastAsia"/>
          <w:lang w:val="en-US" w:eastAsia="zh-CN"/>
        </w:rPr>
      </w:pPr>
    </w:p>
    <w:p>
      <w:pPr>
        <w:rPr>
          <w:rFonts w:hint="eastAsia"/>
          <w:lang w:val="en-US" w:eastAsia="zh-CN"/>
        </w:rPr>
      </w:pPr>
    </w:p>
    <w:p>
      <w:pPr>
        <w:numPr>
          <w:ilvl w:val="0"/>
          <w:numId w:val="0"/>
        </w:numPr>
        <w:jc w:val="center"/>
        <w:rPr>
          <w:rFonts w:hint="default"/>
          <w:sz w:val="36"/>
          <w:szCs w:val="36"/>
          <w:lang w:val="en-US" w:eastAsia="zh-CN"/>
        </w:rPr>
      </w:pPr>
      <w:r>
        <w:rPr>
          <w:rFonts w:hint="eastAsia"/>
          <w:sz w:val="36"/>
          <w:szCs w:val="36"/>
          <w:lang w:val="en-US" w:eastAsia="zh-CN"/>
        </w:rPr>
        <w:t>第九章  用人单位对毕业生及学校的评价与反馈</w:t>
      </w:r>
    </w:p>
    <w:p>
      <w:pPr>
        <w:numPr>
          <w:ilvl w:val="0"/>
          <w:numId w:val="0"/>
        </w:numPr>
        <w:jc w:val="left"/>
        <w:rPr>
          <w:rFonts w:hint="eastAsia"/>
          <w:sz w:val="28"/>
          <w:szCs w:val="28"/>
          <w:lang w:val="en-US" w:eastAsia="zh-CN"/>
        </w:rPr>
      </w:pPr>
      <w:r>
        <w:rPr>
          <w:rFonts w:hint="eastAsia"/>
          <w:sz w:val="28"/>
          <w:szCs w:val="28"/>
          <w:lang w:val="en-US" w:eastAsia="zh-CN"/>
        </w:rPr>
        <w:t>一、参与调研用人单位基本情况分析</w:t>
      </w:r>
    </w:p>
    <w:p>
      <w:pPr>
        <w:numPr>
          <w:ilvl w:val="0"/>
          <w:numId w:val="0"/>
        </w:numPr>
        <w:jc w:val="left"/>
        <w:rPr>
          <w:rFonts w:hint="default"/>
          <w:sz w:val="28"/>
          <w:szCs w:val="28"/>
          <w:lang w:val="en-US" w:eastAsia="zh-CN"/>
        </w:rPr>
      </w:pPr>
      <w:r>
        <w:rPr>
          <w:rFonts w:hint="eastAsia"/>
          <w:sz w:val="28"/>
          <w:szCs w:val="28"/>
          <w:lang w:val="en-US" w:eastAsia="zh-CN"/>
        </w:rPr>
        <w:t>（一）用人单位性质分布</w:t>
      </w:r>
    </w:p>
    <w:p>
      <w:pPr>
        <w:jc w:val="left"/>
        <w:rPr>
          <w:rFonts w:hint="eastAsia"/>
          <w:sz w:val="28"/>
          <w:szCs w:val="28"/>
          <w:lang w:val="en-US" w:eastAsia="zh-CN"/>
        </w:rPr>
      </w:pPr>
      <w:r>
        <w:rPr>
          <w:rFonts w:hint="eastAsia"/>
          <w:sz w:val="28"/>
          <w:szCs w:val="28"/>
          <w:lang w:val="en-US" w:eastAsia="zh-CN"/>
        </w:rPr>
        <w:t xml:space="preserve">    调研样本中的用人单位主要为“民（私）营企业”（35.49%），其次为“其他”（16.13%）、“党政机关（包括部队单位）”（12.90%）、“外（合）资企业”（12.90%）。    </w:t>
      </w:r>
      <w:r>
        <w:rPr>
          <w:rFonts w:hint="eastAsia"/>
          <w:sz w:val="28"/>
          <w:szCs w:val="28"/>
          <w:lang w:val="en-US" w:eastAsia="zh-CN"/>
        </w:rPr>
        <w:drawing>
          <wp:inline distT="0" distB="0" distL="114300" distR="114300">
            <wp:extent cx="5505450" cy="1651000"/>
            <wp:effectExtent l="4445" t="4445" r="14605" b="20955"/>
            <wp:docPr id="37"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  参与调研单位性质分布</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（二）用人单位行业分布</w:t>
      </w:r>
    </w:p>
    <w:p>
      <w:pPr>
        <w:ind w:firstLine="560" w:firstLineChars="200"/>
        <w:jc w:val="left"/>
        <w:rPr>
          <w:rFonts w:hint="default"/>
          <w:sz w:val="28"/>
          <w:szCs w:val="28"/>
          <w:lang w:val="en-US" w:eastAsia="zh-CN"/>
        </w:rPr>
      </w:pPr>
      <w:r>
        <w:rPr>
          <w:rFonts w:hint="eastAsia"/>
          <w:sz w:val="28"/>
          <w:szCs w:val="28"/>
          <w:lang w:val="en-US" w:eastAsia="zh-CN"/>
        </w:rPr>
        <w:t>调研样本中用人单位的行业占比最大的为“制造业”（29.02%），其次为“公共管理、社会保障和社会组织”（12.90%）、“批发和零售业”及“信息传输、软件和信息技术服务业”（均为9.67%）。</w:t>
      </w:r>
      <w:r>
        <w:rPr>
          <w:rFonts w:hint="default"/>
          <w:sz w:val="28"/>
          <w:szCs w:val="28"/>
          <w:lang w:val="en-US" w:eastAsia="zh-CN"/>
        </w:rPr>
        <w:drawing>
          <wp:inline distT="0" distB="0" distL="114300" distR="114300">
            <wp:extent cx="5765165" cy="2470785"/>
            <wp:effectExtent l="4445" t="4445" r="21590" b="2032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2  参与调研单位行业分布</w:t>
      </w:r>
    </w:p>
    <w:p>
      <w:pPr>
        <w:pStyle w:val="6"/>
        <w:rPr>
          <w:rFonts w:hint="eastAsia"/>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（三）用人单位规模分布</w:t>
      </w:r>
    </w:p>
    <w:p>
      <w:pPr>
        <w:ind w:firstLine="560" w:firstLineChars="200"/>
        <w:jc w:val="left"/>
        <w:rPr>
          <w:rFonts w:hint="eastAsia" w:ascii="宋体" w:hAnsi="宋体" w:cs="宋体"/>
          <w:sz w:val="28"/>
          <w:szCs w:val="28"/>
          <w:lang w:val="en-US" w:eastAsia="zh-CN"/>
        </w:rPr>
      </w:pPr>
      <w:r>
        <w:rPr>
          <w:rFonts w:hint="eastAsia" w:ascii="宋体" w:hAnsi="宋体" w:cs="宋体"/>
          <w:sz w:val="28"/>
          <w:szCs w:val="28"/>
          <w:lang w:val="en-US" w:eastAsia="zh-CN"/>
        </w:rPr>
        <w:t>调研样本的用人单位规模主要集中在“</w:t>
      </w:r>
      <w:r>
        <w:rPr>
          <w:rFonts w:hint="eastAsia"/>
          <w:sz w:val="28"/>
          <w:szCs w:val="28"/>
          <w:lang w:val="en-US" w:eastAsia="zh-CN"/>
        </w:rPr>
        <w:t>1-99人</w:t>
      </w:r>
      <w:r>
        <w:rPr>
          <w:rFonts w:hint="eastAsia" w:ascii="宋体" w:hAnsi="宋体" w:cs="宋体"/>
          <w:sz w:val="28"/>
          <w:szCs w:val="28"/>
          <w:lang w:val="en-US" w:eastAsia="zh-CN"/>
        </w:rPr>
        <w:t>”（</w:t>
      </w:r>
      <w:r>
        <w:rPr>
          <w:rFonts w:hint="eastAsia"/>
          <w:sz w:val="28"/>
          <w:szCs w:val="28"/>
          <w:lang w:val="en-US" w:eastAsia="zh-CN"/>
        </w:rPr>
        <w:t>54.84%</w:t>
      </w:r>
      <w:r>
        <w:rPr>
          <w:rFonts w:hint="eastAsia" w:ascii="宋体" w:hAnsi="宋体" w:cs="宋体"/>
          <w:sz w:val="28"/>
          <w:szCs w:val="28"/>
          <w:lang w:val="en-US" w:eastAsia="zh-CN"/>
        </w:rPr>
        <w:t>），其次为“</w:t>
      </w:r>
      <w:r>
        <w:rPr>
          <w:rFonts w:hint="eastAsia"/>
          <w:sz w:val="28"/>
          <w:szCs w:val="28"/>
          <w:lang w:val="en-US" w:eastAsia="zh-CN"/>
        </w:rPr>
        <w:t>100-499</w:t>
      </w:r>
      <w:r>
        <w:rPr>
          <w:rFonts w:hint="eastAsia" w:ascii="宋体" w:hAnsi="宋体" w:cs="宋体"/>
          <w:sz w:val="28"/>
          <w:szCs w:val="28"/>
          <w:lang w:val="en-US" w:eastAsia="zh-CN"/>
        </w:rPr>
        <w:t>人”（</w:t>
      </w:r>
      <w:r>
        <w:rPr>
          <w:rFonts w:hint="eastAsia"/>
          <w:sz w:val="28"/>
          <w:szCs w:val="28"/>
          <w:lang w:val="en-US" w:eastAsia="zh-CN"/>
        </w:rPr>
        <w:t>22.58%</w:t>
      </w:r>
      <w:r>
        <w:rPr>
          <w:rFonts w:hint="eastAsia" w:ascii="宋体" w:hAnsi="宋体" w:cs="宋体"/>
          <w:sz w:val="28"/>
          <w:szCs w:val="28"/>
          <w:lang w:val="en-US" w:eastAsia="zh-CN"/>
        </w:rPr>
        <w:t>）、“</w:t>
      </w:r>
      <w:r>
        <w:rPr>
          <w:rFonts w:hint="eastAsia"/>
          <w:sz w:val="28"/>
          <w:szCs w:val="28"/>
          <w:lang w:val="en-US" w:eastAsia="zh-CN"/>
        </w:rPr>
        <w:t>500-999人</w:t>
      </w:r>
      <w:r>
        <w:rPr>
          <w:rFonts w:hint="eastAsia" w:ascii="宋体" w:hAnsi="宋体" w:cs="宋体"/>
          <w:sz w:val="28"/>
          <w:szCs w:val="28"/>
          <w:lang w:val="en-US" w:eastAsia="zh-CN"/>
        </w:rPr>
        <w:t>”（</w:t>
      </w:r>
      <w:r>
        <w:rPr>
          <w:rFonts w:hint="eastAsia"/>
          <w:sz w:val="28"/>
          <w:szCs w:val="28"/>
          <w:lang w:val="en-US" w:eastAsia="zh-CN"/>
        </w:rPr>
        <w:t>9.68%</w:t>
      </w:r>
      <w:r>
        <w:rPr>
          <w:rFonts w:hint="eastAsia" w:ascii="宋体" w:hAnsi="宋体" w:cs="宋体"/>
          <w:sz w:val="28"/>
          <w:szCs w:val="28"/>
          <w:lang w:val="en-US" w:eastAsia="zh-CN"/>
        </w:rPr>
        <w:t>）、“</w:t>
      </w:r>
      <w:r>
        <w:rPr>
          <w:rFonts w:hint="eastAsia"/>
          <w:sz w:val="28"/>
          <w:szCs w:val="28"/>
          <w:lang w:val="en-US" w:eastAsia="zh-CN"/>
        </w:rPr>
        <w:t>1000-4999人</w:t>
      </w:r>
      <w:r>
        <w:rPr>
          <w:rFonts w:hint="eastAsia" w:ascii="宋体" w:hAnsi="宋体" w:cs="宋体"/>
          <w:sz w:val="28"/>
          <w:szCs w:val="28"/>
          <w:lang w:val="en-US" w:eastAsia="zh-CN"/>
        </w:rPr>
        <w:t>”（</w:t>
      </w:r>
      <w:r>
        <w:rPr>
          <w:rFonts w:hint="eastAsia"/>
          <w:sz w:val="28"/>
          <w:szCs w:val="28"/>
          <w:lang w:val="en-US" w:eastAsia="zh-CN"/>
        </w:rPr>
        <w:t>9.68%</w:t>
      </w:r>
      <w:r>
        <w:rPr>
          <w:rFonts w:hint="eastAsia" w:ascii="宋体" w:hAnsi="宋体" w:cs="宋体"/>
          <w:sz w:val="28"/>
          <w:szCs w:val="28"/>
          <w:lang w:val="en-US" w:eastAsia="zh-CN"/>
        </w:rPr>
        <w:t>）。</w:t>
      </w:r>
    </w:p>
    <w:p>
      <w:pPr>
        <w:ind w:firstLine="560" w:firstLineChars="200"/>
        <w:jc w:val="left"/>
        <w:rPr>
          <w:rFonts w:hint="eastAsia" w:ascii="宋体" w:hAnsi="宋体" w:cs="宋体"/>
          <w:sz w:val="28"/>
          <w:szCs w:val="28"/>
          <w:lang w:val="en-US" w:eastAsia="zh-CN"/>
        </w:rPr>
      </w:pPr>
      <w:r>
        <w:rPr>
          <w:rFonts w:hint="eastAsia" w:ascii="宋体" w:hAnsi="宋体" w:cs="宋体"/>
          <w:sz w:val="28"/>
          <w:szCs w:val="28"/>
          <w:lang w:val="en-US" w:eastAsia="zh-CN"/>
        </w:rPr>
        <w:drawing>
          <wp:inline distT="0" distB="0" distL="114300" distR="114300">
            <wp:extent cx="4824730" cy="2548255"/>
            <wp:effectExtent l="4445" t="4445" r="9525" b="19050"/>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  参与调研单位规模分布</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jc w:val="left"/>
        <w:rPr>
          <w:rFonts w:hint="default"/>
          <w:sz w:val="28"/>
          <w:szCs w:val="28"/>
          <w:highlight w:val="none"/>
          <w:lang w:val="en-US" w:eastAsia="zh-CN"/>
        </w:rPr>
      </w:pPr>
      <w:r>
        <w:rPr>
          <w:rFonts w:hint="eastAsia"/>
          <w:sz w:val="28"/>
          <w:szCs w:val="28"/>
          <w:highlight w:val="none"/>
          <w:lang w:val="en-US" w:eastAsia="zh-CN"/>
        </w:rPr>
        <w:t>（四）用人单位地域分布</w:t>
      </w:r>
    </w:p>
    <w:p>
      <w:pPr>
        <w:ind w:firstLine="560" w:firstLineChars="200"/>
        <w:jc w:val="left"/>
        <w:rPr>
          <w:rFonts w:hint="eastAsia"/>
          <w:sz w:val="28"/>
          <w:szCs w:val="28"/>
          <w:lang w:val="en-US" w:eastAsia="zh-CN"/>
        </w:rPr>
      </w:pPr>
      <w:r>
        <w:rPr>
          <w:rFonts w:hint="eastAsia"/>
          <w:sz w:val="28"/>
          <w:szCs w:val="28"/>
          <w:lang w:val="en-US" w:eastAsia="zh-CN"/>
        </w:rPr>
        <w:t>调研样本的单位地域分布位列前三的地区分别是“湖南省内（长沙市除外）”（38.71%）、“其他区域”（19.35%）、“长三角区域”（均为16.13%）。</w:t>
      </w:r>
    </w:p>
    <w:p>
      <w:pPr>
        <w:ind w:firstLine="840" w:firstLineChars="30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280535" cy="2136140"/>
            <wp:effectExtent l="4445" t="4445" r="20320" b="12065"/>
            <wp:docPr id="43" name="图表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4  参与调研单位地域分布</w:t>
      </w:r>
    </w:p>
    <w:p>
      <w:pPr>
        <w:numPr>
          <w:ilvl w:val="0"/>
          <w:numId w:val="0"/>
        </w:numPr>
        <w:ind w:leftChars="0"/>
        <w:jc w:val="left"/>
        <w:rPr>
          <w:rFonts w:hint="eastAsia"/>
          <w:sz w:val="28"/>
          <w:szCs w:val="28"/>
          <w:highlight w:val="none"/>
          <w:lang w:val="en-US" w:eastAsia="zh-CN"/>
        </w:rPr>
      </w:pPr>
      <w:r>
        <w:rPr>
          <w:rFonts w:hint="eastAsia"/>
          <w:sz w:val="28"/>
          <w:szCs w:val="28"/>
          <w:highlight w:val="none"/>
          <w:lang w:val="en-US" w:eastAsia="zh-CN"/>
        </w:rPr>
        <w:t>二、用人单位用人需求分析</w:t>
      </w:r>
    </w:p>
    <w:p>
      <w:pPr>
        <w:numPr>
          <w:ilvl w:val="0"/>
          <w:numId w:val="13"/>
        </w:numPr>
        <w:ind w:leftChars="0"/>
        <w:jc w:val="left"/>
        <w:rPr>
          <w:rFonts w:hint="eastAsia"/>
          <w:sz w:val="28"/>
          <w:szCs w:val="28"/>
          <w:lang w:val="en-US" w:eastAsia="zh-CN"/>
        </w:rPr>
      </w:pPr>
      <w:r>
        <w:rPr>
          <w:rFonts w:hint="eastAsia"/>
          <w:sz w:val="28"/>
          <w:szCs w:val="28"/>
          <w:lang w:val="en-US" w:eastAsia="zh-CN"/>
        </w:rPr>
        <w:t>用人单位对毕业生专业对口的关注度</w:t>
      </w:r>
    </w:p>
    <w:p>
      <w:pPr>
        <w:numPr>
          <w:ilvl w:val="0"/>
          <w:numId w:val="0"/>
        </w:numPr>
        <w:jc w:val="left"/>
        <w:rPr>
          <w:rFonts w:hint="eastAsia"/>
          <w:sz w:val="28"/>
          <w:szCs w:val="28"/>
          <w:lang w:val="en-US" w:eastAsia="zh-CN"/>
        </w:rPr>
      </w:pPr>
      <w:r>
        <w:rPr>
          <w:rFonts w:hint="eastAsia"/>
          <w:sz w:val="28"/>
          <w:szCs w:val="28"/>
          <w:lang w:val="en-US" w:eastAsia="zh-CN"/>
        </w:rPr>
        <w:t xml:space="preserve">   调研数据显示，用人单位对毕业生专业对口的关注度较高，为83.87%。说明用人单位希望招聘专业对口的毕业生，能真正发挥毕业生的专业优势。但也有16.13%的用人单位不关注专业是否对口。</w:t>
      </w:r>
    </w:p>
    <w:p>
      <w:pPr>
        <w:ind w:firstLine="400" w:firstLineChars="200"/>
        <w:jc w:val="center"/>
        <w:rPr>
          <w:rFonts w:hint="default"/>
          <w:sz w:val="28"/>
          <w:szCs w:val="28"/>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5 参与调研单位对毕业生的专业对口关注度</w:t>
      </w:r>
    </w:p>
    <w:p>
      <w:pPr>
        <w:numPr>
          <w:ilvl w:val="0"/>
          <w:numId w:val="0"/>
        </w:numPr>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255135" cy="2091055"/>
            <wp:effectExtent l="5080" t="4445" r="6985" b="19050"/>
            <wp:docPr id="68" name="图表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pPr>
        <w:numPr>
          <w:ilvl w:val="0"/>
          <w:numId w:val="0"/>
        </w:numPr>
        <w:jc w:val="left"/>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注：关注度=非常关注+比较关注+一般</w:t>
      </w:r>
    </w:p>
    <w:p>
      <w:pPr>
        <w:numPr>
          <w:ilvl w:val="0"/>
          <w:numId w:val="0"/>
        </w:numPr>
        <w:jc w:val="left"/>
        <w:rPr>
          <w:rFonts w:hint="eastAsia" w:asciiTheme="minorEastAsia" w:hAnsiTheme="minorEastAsia" w:eastAsiaTheme="minorEastAsia"/>
          <w:sz w:val="20"/>
          <w:szCs w:val="20"/>
          <w:lang w:val="en-US" w:eastAsia="zh-CN"/>
        </w:rPr>
      </w:pPr>
    </w:p>
    <w:p>
      <w:pPr>
        <w:numPr>
          <w:ilvl w:val="0"/>
          <w:numId w:val="13"/>
        </w:numPr>
        <w:ind w:left="0" w:leftChars="0" w:firstLine="0" w:firstLineChars="0"/>
        <w:jc w:val="left"/>
        <w:rPr>
          <w:rFonts w:hint="eastAsia"/>
          <w:sz w:val="28"/>
          <w:szCs w:val="28"/>
          <w:lang w:val="en-US" w:eastAsia="zh-CN"/>
        </w:rPr>
      </w:pPr>
      <w:r>
        <w:rPr>
          <w:rFonts w:hint="eastAsia"/>
          <w:sz w:val="28"/>
          <w:szCs w:val="28"/>
          <w:lang w:val="en-US" w:eastAsia="zh-CN"/>
        </w:rPr>
        <w:t>用人单位录用毕业生看重的因素</w:t>
      </w:r>
    </w:p>
    <w:p>
      <w:pPr>
        <w:numPr>
          <w:ilvl w:val="0"/>
          <w:numId w:val="0"/>
        </w:numPr>
        <w:ind w:leftChars="0"/>
        <w:jc w:val="left"/>
        <w:rPr>
          <w:rFonts w:hint="default" w:ascii="宋体" w:hAnsi="宋体" w:cs="宋体"/>
          <w:sz w:val="24"/>
          <w:szCs w:val="24"/>
          <w:lang w:val="en-US" w:eastAsia="zh-CN"/>
        </w:rPr>
      </w:pPr>
      <w:r>
        <w:rPr>
          <w:rFonts w:hint="eastAsia"/>
          <w:sz w:val="28"/>
          <w:szCs w:val="28"/>
          <w:lang w:val="en-US" w:eastAsia="zh-CN"/>
        </w:rPr>
        <w:t xml:space="preserve">    调研数据显示，用人单位录用毕业生时比较看重的因素排名前三位的是“综合素质”、“人品素质、忠诚度、责任心”、“社会适应能力”，占比分别为74.19%、67.74%、41.94%。</w:t>
      </w:r>
      <w:r>
        <w:rPr>
          <w:rFonts w:hint="default" w:ascii="宋体" w:hAnsi="宋体" w:cs="宋体"/>
          <w:sz w:val="24"/>
          <w:szCs w:val="24"/>
          <w:lang w:val="en-US" w:eastAsia="zh-CN"/>
        </w:rPr>
        <w:drawing>
          <wp:inline distT="0" distB="0" distL="114300" distR="114300">
            <wp:extent cx="5391150" cy="2019300"/>
            <wp:effectExtent l="4445" t="4445" r="14605" b="14605"/>
            <wp:docPr id="69" name="图表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6 参与调研单位录用毕业生看重的因素（多选）</w:t>
      </w:r>
    </w:p>
    <w:p>
      <w:pPr>
        <w:pStyle w:val="6"/>
        <w:rPr>
          <w:rFonts w:hint="eastAsia"/>
          <w:lang w:val="en-US" w:eastAsia="zh-CN"/>
        </w:rPr>
      </w:pPr>
    </w:p>
    <w:p>
      <w:pPr>
        <w:numPr>
          <w:ilvl w:val="0"/>
          <w:numId w:val="0"/>
        </w:numPr>
        <w:ind w:leftChars="0"/>
        <w:jc w:val="left"/>
        <w:rPr>
          <w:rFonts w:hint="default"/>
          <w:sz w:val="28"/>
          <w:szCs w:val="28"/>
          <w:highlight w:val="none"/>
          <w:lang w:val="en-US" w:eastAsia="zh-CN"/>
        </w:rPr>
      </w:pPr>
      <w:r>
        <w:rPr>
          <w:rFonts w:hint="eastAsia"/>
          <w:sz w:val="28"/>
          <w:szCs w:val="28"/>
          <w:highlight w:val="none"/>
          <w:lang w:val="en-US" w:eastAsia="zh-CN"/>
        </w:rPr>
        <w:t>三、用人单位对毕业生的评价与反馈</w:t>
      </w:r>
    </w:p>
    <w:p>
      <w:pPr>
        <w:numPr>
          <w:ilvl w:val="0"/>
          <w:numId w:val="0"/>
        </w:numPr>
        <w:ind w:leftChars="0"/>
        <w:jc w:val="left"/>
        <w:rPr>
          <w:rFonts w:hint="default"/>
          <w:sz w:val="28"/>
          <w:szCs w:val="28"/>
          <w:lang w:val="en-US" w:eastAsia="zh-CN"/>
        </w:rPr>
      </w:pPr>
      <w:r>
        <w:rPr>
          <w:rFonts w:hint="eastAsia"/>
          <w:sz w:val="28"/>
          <w:szCs w:val="28"/>
          <w:lang w:val="en-US" w:eastAsia="zh-CN"/>
        </w:rPr>
        <w:t>（一）用人单位对毕业生的满意度</w:t>
      </w:r>
    </w:p>
    <w:p>
      <w:pPr>
        <w:ind w:firstLine="560" w:firstLineChars="200"/>
        <w:jc w:val="left"/>
        <w:rPr>
          <w:rFonts w:hint="eastAsia"/>
          <w:sz w:val="28"/>
          <w:szCs w:val="28"/>
          <w:lang w:val="en-US" w:eastAsia="zh-CN"/>
        </w:rPr>
      </w:pPr>
      <w:r>
        <w:rPr>
          <w:rFonts w:hint="eastAsia"/>
          <w:sz w:val="28"/>
          <w:szCs w:val="28"/>
          <w:lang w:val="en-US" w:eastAsia="zh-CN"/>
        </w:rPr>
        <w:t>调研数据显示，用人单位对学校毕业生的满意度高达100%。其中表示“非常满意”的占到35.49%。这表明学校毕业生的学生获得社会认可度高。</w:t>
      </w:r>
    </w:p>
    <w:p>
      <w:pPr>
        <w:ind w:firstLine="560" w:firstLineChars="200"/>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3381375" cy="2165985"/>
            <wp:effectExtent l="5080" t="4445" r="4445" b="20320"/>
            <wp:docPr id="70" name="图表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7 参与调研单位对毕业生的满意度</w:t>
      </w:r>
    </w:p>
    <w:p>
      <w:pPr>
        <w:jc w:val="both"/>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注：满意度=非常满意+比较满意+满意</w:t>
      </w:r>
    </w:p>
    <w:p>
      <w:pPr>
        <w:jc w:val="both"/>
        <w:rPr>
          <w:rFonts w:hint="eastAsia" w:asciiTheme="minorEastAsia" w:hAnsiTheme="minorEastAsia" w:eastAsiaTheme="minorEastAsia"/>
          <w:sz w:val="20"/>
          <w:szCs w:val="20"/>
          <w:lang w:val="en-US" w:eastAsia="zh-CN"/>
        </w:rPr>
      </w:pPr>
    </w:p>
    <w:p>
      <w:pPr>
        <w:numPr>
          <w:ilvl w:val="0"/>
          <w:numId w:val="0"/>
        </w:numPr>
        <w:ind w:leftChars="0"/>
        <w:jc w:val="left"/>
        <w:rPr>
          <w:rFonts w:hint="eastAsia"/>
          <w:sz w:val="28"/>
          <w:szCs w:val="28"/>
          <w:highlight w:val="yellow"/>
          <w:lang w:val="en-US" w:eastAsia="zh-CN"/>
        </w:rPr>
      </w:pPr>
      <w:r>
        <w:rPr>
          <w:rFonts w:hint="eastAsia"/>
          <w:sz w:val="28"/>
          <w:szCs w:val="28"/>
          <w:highlight w:val="none"/>
          <w:lang w:val="en-US" w:eastAsia="zh-CN"/>
        </w:rPr>
        <w:t>（二）用人单位对毕业生能力和素质评价</w:t>
      </w:r>
    </w:p>
    <w:p>
      <w:pPr>
        <w:numPr>
          <w:ilvl w:val="0"/>
          <w:numId w:val="0"/>
        </w:numPr>
        <w:ind w:leftChars="0" w:firstLine="560"/>
        <w:jc w:val="left"/>
        <w:rPr>
          <w:rFonts w:hint="default"/>
          <w:sz w:val="28"/>
          <w:szCs w:val="28"/>
          <w:lang w:val="en-US" w:eastAsia="zh-CN"/>
        </w:rPr>
      </w:pPr>
      <w:r>
        <w:rPr>
          <w:rFonts w:hint="eastAsia"/>
          <w:sz w:val="28"/>
          <w:szCs w:val="28"/>
          <w:lang w:val="en-US" w:eastAsia="zh-CN"/>
        </w:rPr>
        <w:t>调研数据显示，用人单位对毕业生能力和素质的总体评价较高，其中相对较高的方面主要为“政治思想觉悟与表现（爱国奉献、爱岗敬业、诚信友善）”（54.84%）、“责任心和担当精神”（29.03%）、“应对压力挫折表现”（9.68%）。</w:t>
      </w:r>
    </w:p>
    <w:p>
      <w:pPr>
        <w:numPr>
          <w:ilvl w:val="0"/>
          <w:numId w:val="0"/>
        </w:numPr>
        <w:jc w:val="left"/>
        <w:rPr>
          <w:rFonts w:hint="default"/>
          <w:sz w:val="28"/>
          <w:szCs w:val="28"/>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4597400" cy="1355725"/>
            <wp:effectExtent l="4445" t="4445" r="8255" b="11430"/>
            <wp:docPr id="71" name="图表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pPr>
        <w:ind w:firstLine="400" w:firstLineChars="200"/>
        <w:jc w:val="center"/>
        <w:rPr>
          <w:rFonts w:hint="eastAsia"/>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8 参与调研单位对毕业生能力和素质评价</w:t>
      </w:r>
    </w:p>
    <w:p>
      <w:pPr>
        <w:numPr>
          <w:ilvl w:val="0"/>
          <w:numId w:val="0"/>
        </w:numPr>
        <w:ind w:leftChars="0"/>
        <w:jc w:val="left"/>
        <w:rPr>
          <w:rFonts w:hint="eastAsia"/>
          <w:sz w:val="28"/>
          <w:szCs w:val="28"/>
          <w:highlight w:val="none"/>
          <w:lang w:val="en-US" w:eastAsia="zh-CN"/>
        </w:rPr>
      </w:pPr>
    </w:p>
    <w:p>
      <w:pPr>
        <w:numPr>
          <w:ilvl w:val="0"/>
          <w:numId w:val="0"/>
        </w:numPr>
        <w:ind w:leftChars="0"/>
        <w:jc w:val="left"/>
        <w:rPr>
          <w:rFonts w:hint="default"/>
          <w:sz w:val="28"/>
          <w:szCs w:val="28"/>
          <w:highlight w:val="none"/>
          <w:lang w:val="en-US" w:eastAsia="zh-CN"/>
        </w:rPr>
      </w:pPr>
      <w:r>
        <w:rPr>
          <w:rFonts w:hint="eastAsia"/>
          <w:sz w:val="28"/>
          <w:szCs w:val="28"/>
          <w:highlight w:val="none"/>
          <w:lang w:val="en-US" w:eastAsia="zh-CN"/>
        </w:rPr>
        <w:t>（三）用人单位对毕业生求职的反馈</w:t>
      </w:r>
    </w:p>
    <w:p>
      <w:pPr>
        <w:ind w:firstLine="560" w:firstLineChars="200"/>
        <w:jc w:val="left"/>
        <w:rPr>
          <w:rFonts w:hint="default"/>
          <w:sz w:val="28"/>
          <w:szCs w:val="28"/>
          <w:lang w:val="en-US" w:eastAsia="zh-CN"/>
        </w:rPr>
      </w:pPr>
      <w:r>
        <w:rPr>
          <w:rFonts w:hint="eastAsia"/>
          <w:sz w:val="28"/>
          <w:szCs w:val="28"/>
          <w:lang w:val="en-US" w:eastAsia="zh-CN"/>
        </w:rPr>
        <w:t xml:space="preserve">调研数据显示，在求职方面，用人单位认为高校毕业生对“表达沟通”（38.71%）有一定要求，另外也应加强“职业素养”（35.48%）的培养和学生“求职技巧”（32.26%）的训练。               </w:t>
      </w:r>
      <w:r>
        <w:rPr>
          <w:rFonts w:hint="default"/>
          <w:sz w:val="28"/>
          <w:szCs w:val="28"/>
          <w:lang w:val="en-US" w:eastAsia="zh-CN"/>
        </w:rPr>
        <w:drawing>
          <wp:inline distT="0" distB="0" distL="114300" distR="114300">
            <wp:extent cx="5001260" cy="2374265"/>
            <wp:effectExtent l="4445" t="4445" r="23495" b="21590"/>
            <wp:docPr id="72" name="图表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9 参与调研单位对毕业生的求职改进建议（多选题）</w:t>
      </w:r>
    </w:p>
    <w:p>
      <w:pPr>
        <w:ind w:firstLine="400" w:firstLineChars="200"/>
        <w:jc w:val="center"/>
        <w:rPr>
          <w:rFonts w:hint="eastAsia" w:asciiTheme="minorEastAsia" w:hAnsiTheme="minorEastAsia" w:eastAsiaTheme="minorEastAsia"/>
          <w:sz w:val="20"/>
          <w:szCs w:val="20"/>
          <w:lang w:val="en-US" w:eastAsia="zh-CN"/>
        </w:rPr>
      </w:pPr>
    </w:p>
    <w:p>
      <w:pPr>
        <w:numPr>
          <w:ilvl w:val="0"/>
          <w:numId w:val="0"/>
        </w:numPr>
        <w:ind w:leftChars="0"/>
        <w:jc w:val="left"/>
        <w:rPr>
          <w:rFonts w:hint="default"/>
          <w:sz w:val="28"/>
          <w:szCs w:val="28"/>
          <w:highlight w:val="none"/>
          <w:lang w:val="en-US" w:eastAsia="zh-CN"/>
        </w:rPr>
      </w:pPr>
      <w:r>
        <w:rPr>
          <w:rFonts w:hint="eastAsia"/>
          <w:sz w:val="28"/>
          <w:szCs w:val="28"/>
          <w:highlight w:val="none"/>
          <w:lang w:val="en-US" w:eastAsia="zh-CN"/>
        </w:rPr>
        <w:t>四、用人单位对学校的评价与反馈</w:t>
      </w:r>
    </w:p>
    <w:p>
      <w:pPr>
        <w:jc w:val="left"/>
        <w:rPr>
          <w:rFonts w:hint="eastAsia"/>
          <w:sz w:val="28"/>
          <w:szCs w:val="28"/>
          <w:highlight w:val="none"/>
          <w:lang w:val="en-US" w:eastAsia="zh-CN"/>
        </w:rPr>
      </w:pPr>
      <w:r>
        <w:rPr>
          <w:rFonts w:hint="eastAsia"/>
          <w:sz w:val="28"/>
          <w:szCs w:val="28"/>
          <w:highlight w:val="none"/>
          <w:lang w:val="en-US" w:eastAsia="zh-CN"/>
        </w:rPr>
        <w:t>（一）用人单位对学校招聘服务和就业指导服务整体满意度</w:t>
      </w:r>
    </w:p>
    <w:p>
      <w:pPr>
        <w:ind w:firstLine="560" w:firstLineChars="200"/>
        <w:jc w:val="left"/>
        <w:rPr>
          <w:rFonts w:hint="eastAsia"/>
          <w:sz w:val="28"/>
          <w:szCs w:val="28"/>
          <w:lang w:val="en-US" w:eastAsia="zh-CN"/>
        </w:rPr>
      </w:pPr>
      <w:r>
        <w:rPr>
          <w:rFonts w:hint="eastAsia"/>
          <w:sz w:val="28"/>
          <w:szCs w:val="28"/>
          <w:highlight w:val="none"/>
          <w:lang w:val="en-US" w:eastAsia="zh-CN"/>
        </w:rPr>
        <w:t>调研数据显示，用人单位对学校招聘服务和就业指导服务满</w:t>
      </w:r>
      <w:r>
        <w:rPr>
          <w:rFonts w:hint="eastAsia"/>
          <w:sz w:val="28"/>
          <w:szCs w:val="28"/>
          <w:lang w:val="en-US" w:eastAsia="zh-CN"/>
        </w:rPr>
        <w:t>意度高达100%。其中表示“非常满意”的占到48.39%。这表明学校学院就业工作得到了用人单位的较高认可。</w:t>
      </w:r>
    </w:p>
    <w:p>
      <w:pPr>
        <w:pStyle w:val="10"/>
        <w:rPr>
          <w:rFonts w:hint="eastAsia"/>
          <w:sz w:val="28"/>
          <w:szCs w:val="28"/>
          <w:highlight w:val="yellow"/>
          <w:lang w:val="en-US" w:eastAsia="zh-CN"/>
        </w:rPr>
      </w:pPr>
      <w:r>
        <w:rPr>
          <w:rFonts w:hint="eastAsia"/>
          <w:sz w:val="28"/>
          <w:szCs w:val="28"/>
          <w:lang w:val="en-US" w:eastAsia="zh-CN"/>
        </w:rPr>
        <w:t xml:space="preserve">   </w:t>
      </w:r>
      <w:r>
        <w:rPr>
          <w:rFonts w:hint="default"/>
          <w:sz w:val="28"/>
          <w:szCs w:val="28"/>
          <w:lang w:val="en-US" w:eastAsia="zh-CN"/>
        </w:rPr>
        <w:drawing>
          <wp:inline distT="0" distB="0" distL="114300" distR="114300">
            <wp:extent cx="3566160" cy="1571625"/>
            <wp:effectExtent l="4445" t="4445" r="10795" b="50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10 参与调研单位对学校招聘服务和就业指导服务</w:t>
      </w:r>
    </w:p>
    <w:p>
      <w:pPr>
        <w:jc w:val="both"/>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注：满意度=非常满意+比较满意+满意</w:t>
      </w:r>
    </w:p>
    <w:p>
      <w:pPr>
        <w:ind w:firstLine="400" w:firstLineChars="200"/>
        <w:jc w:val="center"/>
        <w:rPr>
          <w:rFonts w:hint="eastAsia" w:asciiTheme="minorEastAsia" w:hAnsiTheme="minorEastAsia" w:eastAsiaTheme="minorEastAsia"/>
          <w:sz w:val="20"/>
          <w:szCs w:val="20"/>
          <w:lang w:val="en-US" w:eastAsia="zh-CN"/>
        </w:rPr>
      </w:pPr>
    </w:p>
    <w:p>
      <w:pPr>
        <w:jc w:val="left"/>
        <w:rPr>
          <w:rFonts w:hint="default"/>
          <w:sz w:val="28"/>
          <w:szCs w:val="28"/>
          <w:highlight w:val="none"/>
          <w:lang w:val="en-US" w:eastAsia="zh-CN"/>
        </w:rPr>
      </w:pPr>
      <w:r>
        <w:rPr>
          <w:rFonts w:hint="eastAsia"/>
          <w:sz w:val="28"/>
          <w:szCs w:val="28"/>
          <w:highlight w:val="none"/>
          <w:lang w:val="en-US" w:eastAsia="zh-CN"/>
        </w:rPr>
        <w:t>（二）各项就业服务亟需改进的评价</w:t>
      </w:r>
    </w:p>
    <w:p>
      <w:pPr>
        <w:ind w:firstLine="560" w:firstLineChars="200"/>
        <w:jc w:val="left"/>
        <w:rPr>
          <w:rFonts w:hint="default"/>
          <w:sz w:val="28"/>
          <w:szCs w:val="28"/>
          <w:lang w:val="en-US" w:eastAsia="zh-CN"/>
        </w:rPr>
      </w:pPr>
      <w:r>
        <w:rPr>
          <w:rFonts w:hint="eastAsia"/>
          <w:sz w:val="28"/>
          <w:szCs w:val="28"/>
          <w:lang w:val="en-US" w:eastAsia="zh-CN"/>
        </w:rPr>
        <w:t>调研样本的用人单位认为高校就业服务方面最需要改进的是“加强毕业生就业指导”（41.94%），其次为“增加校园招聘会场次”、“及时更新发布招聘信息”、“加强校企沟通”（均25.81%）。</w:t>
      </w:r>
      <w:r>
        <w:rPr>
          <w:rFonts w:hint="default"/>
          <w:sz w:val="28"/>
          <w:szCs w:val="28"/>
          <w:lang w:val="en-US" w:eastAsia="zh-CN"/>
        </w:rPr>
        <w:drawing>
          <wp:inline distT="0" distB="0" distL="114300" distR="114300">
            <wp:extent cx="5544185" cy="2252980"/>
            <wp:effectExtent l="4445" t="4445" r="13970" b="9525"/>
            <wp:docPr id="75" name="图表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pPr>
        <w:ind w:firstLine="400" w:firstLineChars="200"/>
        <w:jc w:val="center"/>
        <w:rPr>
          <w:rFonts w:hint="eastAsia"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en-US" w:eastAsia="zh-CN"/>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9</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11 参与调研单位认为学校应加强的就业工作（多选</w:t>
      </w:r>
      <w:r>
        <w:rPr>
          <w:rFonts w:hint="eastAsia" w:asciiTheme="minorEastAsia" w:hAnsiTheme="minorEastAsia" w:eastAsiaTheme="minorEastAsia"/>
          <w:sz w:val="20"/>
          <w:szCs w:val="20"/>
          <w:highlight w:val="none"/>
          <w:lang w:val="en-US" w:eastAsia="zh-CN"/>
        </w:rPr>
        <w:t>题</w:t>
      </w:r>
      <w:r>
        <w:rPr>
          <w:rFonts w:hint="eastAsia" w:asciiTheme="minorEastAsia" w:hAnsiTheme="minorEastAsia" w:eastAsiaTheme="minorEastAsia"/>
          <w:sz w:val="20"/>
          <w:szCs w:val="20"/>
          <w:lang w:val="en-US" w:eastAsia="zh-CN"/>
        </w:rPr>
        <w:t>）</w:t>
      </w:r>
    </w:p>
    <w:p>
      <w:pPr>
        <w:pStyle w:val="6"/>
        <w:rPr>
          <w:rFonts w:hint="eastAsia" w:asciiTheme="minorEastAsia" w:hAnsiTheme="minorEastAsia" w:eastAsiaTheme="minorEastAsia"/>
          <w:sz w:val="20"/>
          <w:szCs w:val="20"/>
          <w:lang w:val="en-US" w:eastAsia="zh-CN"/>
        </w:rPr>
      </w:pPr>
    </w:p>
    <w:p>
      <w:pPr>
        <w:pStyle w:val="2"/>
        <w:rPr>
          <w:rFonts w:hint="eastAsia" w:asciiTheme="minorEastAsia" w:hAnsiTheme="minorEastAsia" w:eastAsiaTheme="minorEastAsia"/>
          <w:sz w:val="20"/>
          <w:szCs w:val="20"/>
          <w:lang w:val="en-US" w:eastAsia="zh-CN"/>
        </w:rPr>
      </w:pPr>
    </w:p>
    <w:p>
      <w:pPr>
        <w:rPr>
          <w:rFonts w:hint="eastAsia" w:asciiTheme="minorEastAsia" w:hAnsiTheme="minorEastAsia" w:eastAsiaTheme="minorEastAsia"/>
          <w:sz w:val="20"/>
          <w:szCs w:val="20"/>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asciiTheme="minorEastAsia" w:hAnsiTheme="minorEastAsia" w:eastAsiaTheme="minorEastAsia"/>
          <w:sz w:val="20"/>
          <w:szCs w:val="20"/>
          <w:lang w:val="en-US" w:eastAsia="zh-CN"/>
        </w:rPr>
      </w:pPr>
    </w:p>
    <w:p>
      <w:pPr>
        <w:rPr>
          <w:rFonts w:hint="eastAsia" w:asciiTheme="minorEastAsia" w:hAnsiTheme="minorEastAsia" w:eastAsiaTheme="minorEastAsia"/>
          <w:sz w:val="20"/>
          <w:szCs w:val="20"/>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asciiTheme="minorEastAsia" w:hAnsiTheme="minorEastAsia" w:eastAsiaTheme="minorEastAsia"/>
          <w:sz w:val="20"/>
          <w:szCs w:val="20"/>
          <w:lang w:val="en-US" w:eastAsia="zh-CN"/>
        </w:rPr>
      </w:pPr>
    </w:p>
    <w:p>
      <w:pPr>
        <w:rPr>
          <w:rFonts w:hint="eastAsia" w:asciiTheme="minorEastAsia" w:hAnsiTheme="minorEastAsia" w:eastAsiaTheme="minorEastAsia"/>
          <w:sz w:val="20"/>
          <w:szCs w:val="20"/>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asciiTheme="minorEastAsia" w:hAnsiTheme="minorEastAsia" w:eastAsiaTheme="minorEastAsia"/>
          <w:sz w:val="20"/>
          <w:szCs w:val="20"/>
          <w:lang w:val="en-US" w:eastAsia="zh-CN"/>
        </w:rPr>
      </w:pPr>
    </w:p>
    <w:p>
      <w:pPr>
        <w:rPr>
          <w:rFonts w:hint="eastAsia" w:asciiTheme="minorEastAsia" w:hAnsiTheme="minorEastAsia" w:eastAsiaTheme="minorEastAsia"/>
          <w:sz w:val="20"/>
          <w:szCs w:val="20"/>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asciiTheme="minorEastAsia" w:hAnsiTheme="minorEastAsia" w:eastAsiaTheme="minorEastAsia"/>
          <w:sz w:val="20"/>
          <w:szCs w:val="20"/>
          <w:lang w:val="en-US" w:eastAsia="zh-CN"/>
        </w:rPr>
      </w:pPr>
    </w:p>
    <w:p>
      <w:pPr>
        <w:rPr>
          <w:rFonts w:hint="eastAsia" w:asciiTheme="minorEastAsia" w:hAnsiTheme="minorEastAsia" w:eastAsiaTheme="minorEastAsia"/>
          <w:sz w:val="20"/>
          <w:szCs w:val="20"/>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asciiTheme="minorEastAsia" w:hAnsiTheme="minorEastAsia" w:eastAsiaTheme="minorEastAsia"/>
          <w:sz w:val="20"/>
          <w:szCs w:val="20"/>
          <w:lang w:val="en-US" w:eastAsia="zh-CN"/>
        </w:rPr>
      </w:pPr>
    </w:p>
    <w:p>
      <w:pPr>
        <w:rPr>
          <w:rFonts w:hint="eastAsia" w:asciiTheme="minorEastAsia" w:hAnsiTheme="minorEastAsia" w:eastAsiaTheme="minorEastAsia"/>
          <w:sz w:val="20"/>
          <w:szCs w:val="20"/>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lang w:val="en-US" w:eastAsia="zh-CN"/>
        </w:rPr>
      </w:pPr>
    </w:p>
    <w:p>
      <w:pPr>
        <w:pStyle w:val="6"/>
        <w:rPr>
          <w:rFonts w:hint="eastAsia" w:asciiTheme="minorEastAsia" w:hAnsiTheme="minorEastAsia" w:eastAsiaTheme="minorEastAsia"/>
          <w:sz w:val="20"/>
          <w:szCs w:val="20"/>
          <w:lang w:val="en-US" w:eastAsia="zh-CN"/>
        </w:rPr>
      </w:pPr>
    </w:p>
    <w:p>
      <w:pPr>
        <w:pStyle w:val="2"/>
        <w:rPr>
          <w:rFonts w:hint="eastAsia"/>
          <w:lang w:val="ru-RU"/>
        </w:rPr>
      </w:pPr>
    </w:p>
    <w:p>
      <w:pPr>
        <w:rPr>
          <w:rFonts w:hint="eastAsia"/>
          <w:lang w:val="ru-RU"/>
        </w:rPr>
      </w:pPr>
    </w:p>
    <w:p>
      <w:pPr>
        <w:rPr>
          <w:rFonts w:hint="eastAsia"/>
          <w:lang w:val="ru-RU"/>
        </w:rPr>
      </w:pPr>
    </w:p>
    <w:p>
      <w:pPr>
        <w:numPr>
          <w:ilvl w:val="0"/>
          <w:numId w:val="0"/>
        </w:numPr>
        <w:jc w:val="center"/>
        <w:rPr>
          <w:sz w:val="36"/>
          <w:szCs w:val="36"/>
          <w:lang w:val="ru-RU"/>
        </w:rPr>
      </w:pPr>
      <w:r>
        <w:rPr>
          <w:rFonts w:hint="eastAsia"/>
          <w:sz w:val="36"/>
          <w:szCs w:val="36"/>
          <w:lang w:val="en-US" w:eastAsia="zh-CN"/>
        </w:rPr>
        <w:t>第十章</w:t>
      </w:r>
      <w:r>
        <w:rPr>
          <w:sz w:val="36"/>
          <w:szCs w:val="36"/>
          <w:lang w:val="ru-RU"/>
        </w:rPr>
        <w:t xml:space="preserve"> </w:t>
      </w:r>
      <w:r>
        <w:rPr>
          <w:rFonts w:hint="eastAsia"/>
          <w:sz w:val="36"/>
          <w:szCs w:val="36"/>
          <w:lang w:val="en-US" w:eastAsia="zh-CN"/>
        </w:rPr>
        <w:t xml:space="preserve"> </w:t>
      </w:r>
      <w:r>
        <w:rPr>
          <w:sz w:val="36"/>
          <w:szCs w:val="36"/>
          <w:lang w:val="ru-RU"/>
        </w:rPr>
        <w:t>20</w:t>
      </w:r>
      <w:r>
        <w:rPr>
          <w:rFonts w:hint="eastAsia"/>
          <w:sz w:val="36"/>
          <w:szCs w:val="36"/>
          <w:lang w:val="en-US" w:eastAsia="zh-CN"/>
        </w:rPr>
        <w:t>21</w:t>
      </w:r>
      <w:r>
        <w:rPr>
          <w:sz w:val="36"/>
          <w:szCs w:val="36"/>
          <w:lang w:val="ru-RU"/>
        </w:rPr>
        <w:t>-20</w:t>
      </w:r>
      <w:r>
        <w:rPr>
          <w:rFonts w:hint="eastAsia"/>
          <w:sz w:val="36"/>
          <w:szCs w:val="36"/>
          <w:lang w:val="en-US" w:eastAsia="zh-CN"/>
        </w:rPr>
        <w:t>23</w:t>
      </w:r>
      <w:r>
        <w:rPr>
          <w:sz w:val="36"/>
          <w:szCs w:val="36"/>
          <w:lang w:val="ru-RU"/>
        </w:rPr>
        <w:t>届毕业生就业发展趋势</w:t>
      </w:r>
    </w:p>
    <w:p>
      <w:pPr>
        <w:jc w:val="left"/>
        <w:rPr>
          <w:sz w:val="28"/>
          <w:szCs w:val="28"/>
          <w:lang w:val="ru-RU"/>
        </w:rPr>
      </w:pPr>
      <w:r>
        <w:rPr>
          <w:rFonts w:hint="eastAsia"/>
          <w:sz w:val="28"/>
          <w:szCs w:val="28"/>
          <w:lang w:val="en-US" w:eastAsia="zh-CN"/>
        </w:rPr>
        <w:t>一、</w:t>
      </w:r>
      <w:r>
        <w:rPr>
          <w:sz w:val="28"/>
          <w:szCs w:val="28"/>
          <w:lang w:val="ru-RU"/>
        </w:rPr>
        <w:t>20</w:t>
      </w:r>
      <w:r>
        <w:rPr>
          <w:rFonts w:hint="eastAsia"/>
          <w:sz w:val="28"/>
          <w:szCs w:val="28"/>
          <w:lang w:val="en-US" w:eastAsia="zh-CN"/>
        </w:rPr>
        <w:t>21</w:t>
      </w:r>
      <w:r>
        <w:rPr>
          <w:sz w:val="28"/>
          <w:szCs w:val="28"/>
          <w:lang w:val="ru-RU"/>
        </w:rPr>
        <w:t>-20</w:t>
      </w:r>
      <w:r>
        <w:rPr>
          <w:rFonts w:hint="eastAsia"/>
          <w:sz w:val="28"/>
          <w:szCs w:val="28"/>
          <w:lang w:val="en-US" w:eastAsia="zh-CN"/>
        </w:rPr>
        <w:t>23</w:t>
      </w:r>
      <w:r>
        <w:rPr>
          <w:rFonts w:hint="eastAsia"/>
          <w:sz w:val="28"/>
          <w:szCs w:val="28"/>
          <w:lang w:val="ru-RU"/>
        </w:rPr>
        <w:t>届毕业生</w:t>
      </w:r>
      <w:r>
        <w:rPr>
          <w:rFonts w:hint="eastAsia"/>
          <w:sz w:val="28"/>
          <w:szCs w:val="28"/>
          <w:lang w:val="en-US" w:eastAsia="zh-CN"/>
        </w:rPr>
        <w:t>毕业去向落实</w:t>
      </w:r>
      <w:r>
        <w:rPr>
          <w:rFonts w:hint="eastAsia"/>
          <w:sz w:val="28"/>
          <w:szCs w:val="28"/>
          <w:lang w:val="ru-RU"/>
        </w:rPr>
        <w:t>率变化趋势</w:t>
      </w:r>
    </w:p>
    <w:p>
      <w:pPr>
        <w:ind w:firstLine="560" w:firstLineChars="200"/>
        <w:jc w:val="left"/>
        <w:rPr>
          <w:rFonts w:hint="eastAsia"/>
          <w:sz w:val="28"/>
          <w:szCs w:val="28"/>
          <w:lang w:val="ru-RU"/>
        </w:rPr>
      </w:pP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届毕业生</w:t>
      </w:r>
      <w:r>
        <w:rPr>
          <w:rFonts w:hint="eastAsia"/>
          <w:sz w:val="28"/>
          <w:szCs w:val="28"/>
          <w:lang w:val="en-US" w:eastAsia="zh-CN"/>
        </w:rPr>
        <w:t>毕业去向落实</w:t>
      </w:r>
      <w:r>
        <w:rPr>
          <w:rFonts w:hint="eastAsia"/>
          <w:sz w:val="28"/>
          <w:szCs w:val="28"/>
          <w:lang w:val="ru-RU"/>
        </w:rPr>
        <w:t>率</w:t>
      </w:r>
      <w:r>
        <w:rPr>
          <w:rFonts w:hint="eastAsia"/>
          <w:sz w:val="28"/>
          <w:szCs w:val="28"/>
          <w:highlight w:val="none"/>
          <w:lang w:val="ru-RU"/>
        </w:rPr>
        <w:t>为</w:t>
      </w:r>
      <w:r>
        <w:rPr>
          <w:rFonts w:hint="eastAsia"/>
          <w:sz w:val="28"/>
          <w:szCs w:val="28"/>
          <w:highlight w:val="none"/>
          <w:lang w:val="en-US" w:eastAsia="zh-CN"/>
        </w:rPr>
        <w:t>94.30</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w:t>
      </w:r>
      <w:r>
        <w:rPr>
          <w:rFonts w:hint="eastAsia"/>
          <w:sz w:val="28"/>
          <w:szCs w:val="28"/>
          <w:lang w:val="en-US" w:eastAsia="zh-CN"/>
        </w:rPr>
        <w:t>毕业去向落实</w:t>
      </w:r>
      <w:r>
        <w:rPr>
          <w:rFonts w:hint="eastAsia"/>
          <w:sz w:val="28"/>
          <w:szCs w:val="28"/>
          <w:lang w:val="ru-RU"/>
        </w:rPr>
        <w:t>率</w:t>
      </w:r>
      <w:r>
        <w:rPr>
          <w:rFonts w:hint="eastAsia"/>
          <w:sz w:val="28"/>
          <w:szCs w:val="28"/>
          <w:highlight w:val="none"/>
          <w:lang w:val="ru-RU"/>
        </w:rPr>
        <w:t>为</w:t>
      </w:r>
      <w:r>
        <w:rPr>
          <w:rFonts w:hint="eastAsia"/>
          <w:sz w:val="28"/>
          <w:szCs w:val="28"/>
          <w:highlight w:val="none"/>
          <w:lang w:val="en-US" w:eastAsia="zh-CN"/>
        </w:rPr>
        <w:t>95.57</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届毕业生</w:t>
      </w:r>
      <w:r>
        <w:rPr>
          <w:rFonts w:hint="eastAsia"/>
          <w:sz w:val="28"/>
          <w:szCs w:val="28"/>
          <w:lang w:val="en-US" w:eastAsia="zh-CN"/>
        </w:rPr>
        <w:t>毕业去向落实</w:t>
      </w:r>
      <w:r>
        <w:rPr>
          <w:rFonts w:hint="eastAsia"/>
          <w:sz w:val="28"/>
          <w:szCs w:val="28"/>
          <w:lang w:val="ru-RU"/>
        </w:rPr>
        <w:t>率</w:t>
      </w:r>
      <w:r>
        <w:rPr>
          <w:rFonts w:hint="eastAsia"/>
          <w:sz w:val="28"/>
          <w:szCs w:val="28"/>
          <w:highlight w:val="none"/>
          <w:lang w:val="ru-RU"/>
        </w:rPr>
        <w:t>为</w:t>
      </w:r>
      <w:r>
        <w:rPr>
          <w:rFonts w:hint="eastAsia"/>
          <w:sz w:val="28"/>
          <w:szCs w:val="28"/>
          <w:highlight w:val="none"/>
          <w:lang w:val="en-US" w:eastAsia="zh-CN"/>
        </w:rPr>
        <w:t>95.60</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数据表明</w:t>
      </w:r>
      <w:r>
        <w:rPr>
          <w:rFonts w:hint="eastAsia"/>
          <w:sz w:val="28"/>
          <w:szCs w:val="28"/>
          <w:lang w:val="ru-RU"/>
        </w:rPr>
        <w:t>连续三年</w:t>
      </w:r>
      <w:r>
        <w:rPr>
          <w:rFonts w:hint="eastAsia"/>
          <w:sz w:val="28"/>
          <w:szCs w:val="28"/>
          <w:lang w:val="en-US" w:eastAsia="zh-CN"/>
        </w:rPr>
        <w:t>毕业去向落实</w:t>
      </w:r>
      <w:r>
        <w:rPr>
          <w:rFonts w:hint="eastAsia"/>
          <w:sz w:val="28"/>
          <w:szCs w:val="28"/>
          <w:lang w:val="ru-RU"/>
        </w:rPr>
        <w:t>率较高</w:t>
      </w:r>
      <w:r>
        <w:rPr>
          <w:rFonts w:hint="eastAsia"/>
          <w:sz w:val="28"/>
          <w:szCs w:val="28"/>
          <w:lang w:val="ru-RU" w:eastAsia="zh-CN"/>
        </w:rPr>
        <w:t>，</w:t>
      </w:r>
      <w:r>
        <w:rPr>
          <w:rFonts w:hint="eastAsia"/>
          <w:sz w:val="28"/>
          <w:szCs w:val="28"/>
          <w:lang w:val="en-US" w:eastAsia="zh-CN"/>
        </w:rPr>
        <w:t>且逐年增加</w:t>
      </w:r>
      <w:r>
        <w:rPr>
          <w:rFonts w:hint="eastAsia"/>
          <w:sz w:val="28"/>
          <w:szCs w:val="28"/>
          <w:lang w:val="ru-RU"/>
        </w:rPr>
        <w:t>。详见下图。</w:t>
      </w:r>
    </w:p>
    <w:p>
      <w:pPr>
        <w:jc w:val="left"/>
        <w:rPr>
          <w:sz w:val="28"/>
          <w:szCs w:val="28"/>
          <w:lang w:val="ru-RU"/>
        </w:rPr>
      </w:pPr>
      <w:r>
        <w:rPr>
          <w:rFonts w:hint="eastAsia"/>
          <w:sz w:val="28"/>
          <w:szCs w:val="28"/>
          <w:lang w:val="en-US" w:eastAsia="zh-CN"/>
        </w:rPr>
        <w:t xml:space="preserve">    </w:t>
      </w:r>
      <w:r>
        <w:rPr>
          <w:sz w:val="28"/>
          <w:szCs w:val="28"/>
        </w:rPr>
        <w:drawing>
          <wp:inline distT="0" distB="0" distL="0" distR="0">
            <wp:extent cx="4722495" cy="2372360"/>
            <wp:effectExtent l="4445" t="4445" r="16510" b="2349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10</w:t>
      </w:r>
      <w:r>
        <w:rPr>
          <w:rFonts w:asciiTheme="minorEastAsia" w:hAnsiTheme="minorEastAsia" w:eastAsiaTheme="minorEastAsia"/>
          <w:sz w:val="20"/>
          <w:szCs w:val="20"/>
          <w:lang w:val="ru-RU"/>
        </w:rPr>
        <w:t>-1 20</w:t>
      </w:r>
      <w:r>
        <w:rPr>
          <w:rFonts w:hint="eastAsia" w:asciiTheme="minorEastAsia" w:hAnsiTheme="minorEastAsia" w:eastAsiaTheme="minorEastAsia"/>
          <w:sz w:val="20"/>
          <w:szCs w:val="20"/>
          <w:lang w:val="en-US" w:eastAsia="zh-CN"/>
        </w:rPr>
        <w:t>21</w:t>
      </w:r>
      <w:r>
        <w:rPr>
          <w:rFonts w:asciiTheme="minorEastAsia" w:hAnsiTheme="minorEastAsia" w:eastAsiaTheme="minorEastAsia"/>
          <w:sz w:val="20"/>
          <w:szCs w:val="20"/>
          <w:lang w:val="ru-RU"/>
        </w:rPr>
        <w:t>-20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毕业去向落实</w:t>
      </w:r>
      <w:r>
        <w:rPr>
          <w:rFonts w:hint="eastAsia" w:asciiTheme="minorEastAsia" w:hAnsiTheme="minorEastAsia" w:eastAsiaTheme="minorEastAsia"/>
          <w:sz w:val="20"/>
          <w:szCs w:val="20"/>
          <w:lang w:val="ru-RU"/>
        </w:rPr>
        <w:t>率</w:t>
      </w:r>
    </w:p>
    <w:p>
      <w:pPr>
        <w:jc w:val="center"/>
        <w:rPr>
          <w:rFonts w:hint="eastAsia" w:asciiTheme="minorEastAsia" w:hAnsiTheme="minorEastAsia" w:eastAsiaTheme="minorEastAsia"/>
          <w:sz w:val="20"/>
          <w:szCs w:val="20"/>
          <w:lang w:val="ru-RU"/>
        </w:rPr>
      </w:pPr>
    </w:p>
    <w:p>
      <w:pPr>
        <w:jc w:val="left"/>
        <w:rPr>
          <w:sz w:val="28"/>
          <w:szCs w:val="28"/>
          <w:highlight w:val="none"/>
          <w:lang w:val="ru-RU"/>
        </w:rPr>
      </w:pPr>
      <w:r>
        <w:rPr>
          <w:rFonts w:hint="eastAsia"/>
          <w:sz w:val="28"/>
          <w:szCs w:val="28"/>
          <w:highlight w:val="none"/>
          <w:lang w:val="en-US" w:eastAsia="zh-CN"/>
        </w:rPr>
        <w:t>二、</w:t>
      </w:r>
      <w:r>
        <w:rPr>
          <w:rFonts w:hint="eastAsia"/>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届毕业生升学</w:t>
      </w:r>
      <w:r>
        <w:rPr>
          <w:rFonts w:hint="eastAsia"/>
          <w:sz w:val="28"/>
          <w:szCs w:val="28"/>
          <w:highlight w:val="none"/>
          <w:lang w:val="en-US" w:eastAsia="zh-CN"/>
        </w:rPr>
        <w:t>人数</w:t>
      </w:r>
      <w:r>
        <w:rPr>
          <w:rFonts w:hint="eastAsia"/>
          <w:sz w:val="28"/>
          <w:szCs w:val="28"/>
          <w:highlight w:val="none"/>
          <w:lang w:val="ru-RU"/>
        </w:rPr>
        <w:t>变化趋势</w:t>
      </w:r>
    </w:p>
    <w:p>
      <w:pPr>
        <w:ind w:firstLine="560" w:firstLineChars="200"/>
        <w:jc w:val="left"/>
        <w:rPr>
          <w:rFonts w:hint="eastAsia"/>
          <w:sz w:val="28"/>
          <w:szCs w:val="28"/>
          <w:highlight w:val="none"/>
          <w:lang w:val="ru-RU"/>
        </w:rPr>
      </w:pP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届毕业生升学</w:t>
      </w:r>
      <w:r>
        <w:rPr>
          <w:rFonts w:hint="eastAsia"/>
          <w:sz w:val="28"/>
          <w:szCs w:val="28"/>
          <w:highlight w:val="none"/>
          <w:lang w:val="en-US" w:eastAsia="zh-CN"/>
        </w:rPr>
        <w:t>77人，</w:t>
      </w:r>
      <w:r>
        <w:rPr>
          <w:rFonts w:hint="eastAsia"/>
          <w:color w:val="auto"/>
          <w:sz w:val="28"/>
          <w:szCs w:val="28"/>
          <w:highlight w:val="none"/>
          <w:lang w:val="en-US" w:eastAsia="zh-CN"/>
        </w:rPr>
        <w:t>升学</w:t>
      </w:r>
      <w:r>
        <w:rPr>
          <w:rFonts w:hint="eastAsia"/>
          <w:color w:val="auto"/>
          <w:sz w:val="28"/>
          <w:szCs w:val="28"/>
          <w:highlight w:val="none"/>
          <w:lang w:val="ru-RU"/>
        </w:rPr>
        <w:t>率为</w:t>
      </w:r>
      <w:r>
        <w:rPr>
          <w:rFonts w:hint="eastAsia"/>
          <w:color w:val="auto"/>
          <w:sz w:val="28"/>
          <w:szCs w:val="28"/>
          <w:highlight w:val="none"/>
          <w:lang w:val="en-US" w:eastAsia="zh-CN"/>
        </w:rPr>
        <w:t>3.82</w:t>
      </w:r>
      <w:r>
        <w:rPr>
          <w:color w:val="auto"/>
          <w:sz w:val="28"/>
          <w:szCs w:val="28"/>
          <w:highlight w:val="none"/>
          <w:lang w:val="ru-RU"/>
        </w:rPr>
        <w:t>%</w:t>
      </w:r>
      <w:r>
        <w:rPr>
          <w:rFonts w:hint="eastAsia"/>
          <w:color w:val="auto"/>
          <w:sz w:val="28"/>
          <w:szCs w:val="28"/>
          <w:highlight w:val="none"/>
          <w:lang w:val="ru-RU" w:eastAsia="zh-CN"/>
        </w:rPr>
        <w:t>；</w:t>
      </w:r>
      <w:r>
        <w:rPr>
          <w:rFonts w:hint="eastAsia"/>
          <w:color w:val="auto"/>
          <w:sz w:val="28"/>
          <w:szCs w:val="28"/>
          <w:highlight w:val="none"/>
          <w:lang w:val="en-US" w:eastAsia="zh-CN"/>
        </w:rPr>
        <w:t>2022</w:t>
      </w:r>
      <w:r>
        <w:rPr>
          <w:rFonts w:hint="eastAsia"/>
          <w:color w:val="auto"/>
          <w:sz w:val="28"/>
          <w:szCs w:val="28"/>
          <w:highlight w:val="none"/>
          <w:lang w:val="ru-RU"/>
        </w:rPr>
        <w:t>届毕业生升学</w:t>
      </w:r>
      <w:r>
        <w:rPr>
          <w:rFonts w:hint="eastAsia"/>
          <w:color w:val="auto"/>
          <w:sz w:val="28"/>
          <w:szCs w:val="28"/>
          <w:highlight w:val="none"/>
          <w:lang w:val="en-US" w:eastAsia="zh-CN"/>
        </w:rPr>
        <w:t>87人，升学</w:t>
      </w:r>
      <w:r>
        <w:rPr>
          <w:rFonts w:hint="eastAsia"/>
          <w:color w:val="auto"/>
          <w:sz w:val="28"/>
          <w:szCs w:val="28"/>
          <w:highlight w:val="none"/>
          <w:lang w:val="ru-RU"/>
        </w:rPr>
        <w:t>率为</w:t>
      </w:r>
      <w:r>
        <w:rPr>
          <w:rFonts w:hint="eastAsia"/>
          <w:color w:val="auto"/>
          <w:sz w:val="28"/>
          <w:szCs w:val="28"/>
          <w:highlight w:val="none"/>
          <w:lang w:val="en-US" w:eastAsia="zh-CN"/>
        </w:rPr>
        <w:t>3.57</w:t>
      </w:r>
      <w:r>
        <w:rPr>
          <w:color w:val="auto"/>
          <w:sz w:val="28"/>
          <w:szCs w:val="28"/>
          <w:highlight w:val="none"/>
          <w:lang w:val="ru-RU"/>
        </w:rPr>
        <w:t>%</w:t>
      </w:r>
      <w:r>
        <w:rPr>
          <w:rFonts w:hint="eastAsia"/>
          <w:color w:val="auto"/>
          <w:sz w:val="28"/>
          <w:szCs w:val="28"/>
          <w:highlight w:val="none"/>
          <w:lang w:val="ru-RU" w:eastAsia="zh-CN"/>
        </w:rPr>
        <w:t>；</w:t>
      </w:r>
      <w:r>
        <w:rPr>
          <w:color w:val="auto"/>
          <w:sz w:val="28"/>
          <w:szCs w:val="28"/>
          <w:highlight w:val="none"/>
          <w:lang w:val="ru-RU"/>
        </w:rPr>
        <w:t>20</w:t>
      </w:r>
      <w:r>
        <w:rPr>
          <w:rFonts w:hint="eastAsia"/>
          <w:color w:val="auto"/>
          <w:sz w:val="28"/>
          <w:szCs w:val="28"/>
          <w:highlight w:val="none"/>
          <w:lang w:val="en-US" w:eastAsia="zh-CN"/>
        </w:rPr>
        <w:t>23</w:t>
      </w:r>
      <w:r>
        <w:rPr>
          <w:rFonts w:hint="eastAsia"/>
          <w:sz w:val="28"/>
          <w:szCs w:val="28"/>
          <w:highlight w:val="none"/>
          <w:lang w:val="ru-RU"/>
        </w:rPr>
        <w:t>届毕业生升学</w:t>
      </w:r>
      <w:r>
        <w:rPr>
          <w:rFonts w:hint="eastAsia"/>
          <w:sz w:val="28"/>
          <w:szCs w:val="28"/>
          <w:highlight w:val="none"/>
          <w:lang w:val="en-US" w:eastAsia="zh-CN"/>
        </w:rPr>
        <w:t>124人，</w:t>
      </w:r>
      <w:r>
        <w:rPr>
          <w:rFonts w:hint="eastAsia"/>
          <w:color w:val="auto"/>
          <w:sz w:val="28"/>
          <w:szCs w:val="28"/>
          <w:highlight w:val="none"/>
          <w:lang w:val="ru-RU"/>
        </w:rPr>
        <w:t>升学率为</w:t>
      </w:r>
      <w:r>
        <w:rPr>
          <w:rFonts w:hint="eastAsia"/>
          <w:color w:val="auto"/>
          <w:sz w:val="28"/>
          <w:szCs w:val="28"/>
          <w:highlight w:val="none"/>
          <w:lang w:val="ru-RU" w:eastAsia="zh-CN"/>
        </w:rPr>
        <w:t>3.</w:t>
      </w:r>
      <w:r>
        <w:rPr>
          <w:rFonts w:hint="eastAsia"/>
          <w:color w:val="auto"/>
          <w:sz w:val="28"/>
          <w:szCs w:val="28"/>
          <w:highlight w:val="none"/>
          <w:lang w:val="en-US" w:eastAsia="zh-CN"/>
        </w:rPr>
        <w:t>08</w:t>
      </w:r>
      <w:r>
        <w:rPr>
          <w:color w:val="auto"/>
          <w:sz w:val="28"/>
          <w:szCs w:val="28"/>
          <w:highlight w:val="none"/>
          <w:lang w:val="ru-RU"/>
        </w:rPr>
        <w:t>%</w:t>
      </w:r>
      <w:r>
        <w:rPr>
          <w:rFonts w:hint="eastAsia"/>
          <w:color w:val="auto"/>
          <w:sz w:val="28"/>
          <w:szCs w:val="28"/>
          <w:highlight w:val="none"/>
          <w:lang w:val="ru-RU" w:eastAsia="zh-CN"/>
        </w:rPr>
        <w:t>。</w:t>
      </w:r>
      <w:r>
        <w:rPr>
          <w:rFonts w:hint="eastAsia"/>
          <w:sz w:val="28"/>
          <w:szCs w:val="28"/>
          <w:highlight w:val="none"/>
          <w:lang w:val="ru-RU"/>
        </w:rPr>
        <w:t>详见下图。</w:t>
      </w:r>
    </w:p>
    <w:p>
      <w:pPr>
        <w:jc w:val="left"/>
        <w:rPr>
          <w:sz w:val="28"/>
          <w:szCs w:val="28"/>
          <w:lang w:val="ru-RU"/>
        </w:rPr>
      </w:pPr>
      <w:r>
        <w:rPr>
          <w:sz w:val="28"/>
          <w:szCs w:val="28"/>
        </w:rPr>
        <w:drawing>
          <wp:inline distT="0" distB="0" distL="0" distR="0">
            <wp:extent cx="5320030" cy="1872615"/>
            <wp:effectExtent l="4445" t="4445" r="9525" b="889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pPr>
        <w:jc w:val="center"/>
        <w:rPr>
          <w:rFonts w:hint="eastAsia" w:asciiTheme="minorEastAsia" w:hAnsiTheme="minorEastAsia" w:eastAsiaTheme="minorEastAsia"/>
          <w:sz w:val="20"/>
          <w:szCs w:val="20"/>
          <w:lang w:val="ru-RU"/>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10</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ru-RU"/>
        </w:rPr>
        <w:t>2</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21</w:t>
      </w:r>
      <w:r>
        <w:rPr>
          <w:rFonts w:asciiTheme="minorEastAsia" w:hAnsiTheme="minorEastAsia" w:eastAsiaTheme="minorEastAsia"/>
          <w:sz w:val="20"/>
          <w:szCs w:val="20"/>
          <w:lang w:val="ru-RU"/>
        </w:rPr>
        <w:t>-20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届毕业生升学情况</w:t>
      </w:r>
    </w:p>
    <w:p>
      <w:pPr>
        <w:jc w:val="left"/>
        <w:rPr>
          <w:rFonts w:hint="eastAsia"/>
          <w:sz w:val="28"/>
          <w:szCs w:val="28"/>
          <w:highlight w:val="none"/>
          <w:lang w:val="ru-RU"/>
        </w:rPr>
      </w:pPr>
      <w:r>
        <w:rPr>
          <w:rFonts w:hint="eastAsia"/>
          <w:sz w:val="28"/>
          <w:szCs w:val="28"/>
          <w:highlight w:val="none"/>
          <w:lang w:val="en-US" w:eastAsia="zh-CN"/>
        </w:rPr>
        <w:t>三、</w:t>
      </w:r>
      <w:r>
        <w:rPr>
          <w:sz w:val="28"/>
          <w:szCs w:val="28"/>
          <w:highlight w:val="none"/>
          <w:lang w:val="ru-RU"/>
        </w:rPr>
        <w:t>20</w:t>
      </w:r>
      <w:r>
        <w:rPr>
          <w:rFonts w:hint="eastAsia"/>
          <w:sz w:val="28"/>
          <w:szCs w:val="28"/>
          <w:highlight w:val="none"/>
          <w:lang w:val="en-US" w:eastAsia="zh-CN"/>
        </w:rPr>
        <w:t>21</w:t>
      </w:r>
      <w:r>
        <w:rPr>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届毕业生</w:t>
      </w:r>
      <w:r>
        <w:rPr>
          <w:rFonts w:hint="eastAsia"/>
          <w:sz w:val="28"/>
          <w:szCs w:val="28"/>
          <w:highlight w:val="none"/>
          <w:lang w:val="en-US" w:eastAsia="zh-CN"/>
        </w:rPr>
        <w:t>自主创业人数</w:t>
      </w:r>
      <w:r>
        <w:rPr>
          <w:rFonts w:hint="eastAsia"/>
          <w:sz w:val="28"/>
          <w:szCs w:val="28"/>
          <w:highlight w:val="none"/>
          <w:lang w:val="ru-RU"/>
        </w:rPr>
        <w:t>变化趋势</w:t>
      </w:r>
    </w:p>
    <w:p>
      <w:pPr>
        <w:ind w:firstLine="560" w:firstLineChars="200"/>
        <w:jc w:val="left"/>
        <w:rPr>
          <w:sz w:val="28"/>
          <w:szCs w:val="28"/>
          <w:highlight w:val="none"/>
          <w:lang w:val="ru-RU"/>
        </w:rPr>
      </w:pPr>
      <w:r>
        <w:rPr>
          <w:sz w:val="28"/>
          <w:szCs w:val="28"/>
          <w:highlight w:val="none"/>
          <w:lang w:val="ru-RU"/>
        </w:rPr>
        <w:t>20</w:t>
      </w:r>
      <w:r>
        <w:rPr>
          <w:rFonts w:hint="eastAsia"/>
          <w:sz w:val="28"/>
          <w:szCs w:val="28"/>
          <w:highlight w:val="none"/>
          <w:lang w:val="en-US" w:eastAsia="zh-CN"/>
        </w:rPr>
        <w:t>21</w:t>
      </w:r>
      <w:r>
        <w:rPr>
          <w:rFonts w:hint="eastAsia"/>
          <w:sz w:val="28"/>
          <w:szCs w:val="28"/>
          <w:highlight w:val="none"/>
          <w:lang w:val="ru-RU"/>
        </w:rPr>
        <w:t>届毕业生</w:t>
      </w:r>
      <w:r>
        <w:rPr>
          <w:rFonts w:hint="eastAsia"/>
          <w:sz w:val="28"/>
          <w:szCs w:val="28"/>
          <w:highlight w:val="none"/>
          <w:lang w:val="en-US" w:eastAsia="zh-CN"/>
        </w:rPr>
        <w:t>自主创业8人，比例</w:t>
      </w:r>
      <w:r>
        <w:rPr>
          <w:rFonts w:hint="eastAsia"/>
          <w:sz w:val="28"/>
          <w:szCs w:val="28"/>
          <w:highlight w:val="none"/>
          <w:lang w:val="ru-RU"/>
        </w:rPr>
        <w:t>为</w:t>
      </w:r>
      <w:r>
        <w:rPr>
          <w:rFonts w:hint="eastAsia"/>
          <w:sz w:val="28"/>
          <w:szCs w:val="28"/>
          <w:highlight w:val="none"/>
          <w:lang w:val="en-US" w:eastAsia="zh-CN"/>
        </w:rPr>
        <w:t xml:space="preserve">0.40 </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22</w:t>
      </w:r>
      <w:r>
        <w:rPr>
          <w:rFonts w:hint="eastAsia"/>
          <w:sz w:val="28"/>
          <w:szCs w:val="28"/>
          <w:highlight w:val="none"/>
          <w:lang w:val="ru-RU"/>
        </w:rPr>
        <w:t>届毕业生</w:t>
      </w:r>
      <w:r>
        <w:rPr>
          <w:rFonts w:hint="eastAsia"/>
          <w:sz w:val="28"/>
          <w:szCs w:val="28"/>
          <w:highlight w:val="none"/>
          <w:lang w:val="en-US" w:eastAsia="zh-CN"/>
        </w:rPr>
        <w:t>自主创业12人，比例</w:t>
      </w:r>
      <w:r>
        <w:rPr>
          <w:rFonts w:hint="eastAsia"/>
          <w:sz w:val="28"/>
          <w:szCs w:val="28"/>
          <w:highlight w:val="none"/>
          <w:lang w:val="ru-RU"/>
        </w:rPr>
        <w:t>为</w:t>
      </w:r>
      <w:r>
        <w:rPr>
          <w:rFonts w:hint="eastAsia"/>
          <w:sz w:val="28"/>
          <w:szCs w:val="28"/>
          <w:highlight w:val="none"/>
          <w:lang w:val="en-US" w:eastAsia="zh-CN"/>
        </w:rPr>
        <w:t>0.49</w:t>
      </w:r>
      <w:r>
        <w:rPr>
          <w:sz w:val="28"/>
          <w:szCs w:val="28"/>
          <w:highlight w:val="none"/>
          <w:lang w:val="ru-RU"/>
        </w:rPr>
        <w:t>%</w:t>
      </w:r>
      <w:r>
        <w:rPr>
          <w:rFonts w:hint="eastAsia"/>
          <w:sz w:val="28"/>
          <w:szCs w:val="28"/>
          <w:highlight w:val="none"/>
          <w:lang w:val="ru-RU" w:eastAsia="zh-CN"/>
        </w:rPr>
        <w:t>；</w:t>
      </w:r>
      <w:r>
        <w:rPr>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届毕业生</w:t>
      </w:r>
      <w:r>
        <w:rPr>
          <w:rFonts w:hint="eastAsia"/>
          <w:sz w:val="28"/>
          <w:szCs w:val="28"/>
          <w:highlight w:val="none"/>
          <w:lang w:val="en-US" w:eastAsia="zh-CN"/>
        </w:rPr>
        <w:t>自主创业68人，比例</w:t>
      </w:r>
      <w:r>
        <w:rPr>
          <w:rFonts w:hint="eastAsia"/>
          <w:sz w:val="28"/>
          <w:szCs w:val="28"/>
          <w:highlight w:val="none"/>
          <w:lang w:val="ru-RU"/>
        </w:rPr>
        <w:t>为</w:t>
      </w:r>
      <w:r>
        <w:rPr>
          <w:rFonts w:hint="eastAsia"/>
          <w:sz w:val="28"/>
          <w:szCs w:val="28"/>
          <w:highlight w:val="none"/>
          <w:lang w:val="en-US" w:eastAsia="zh-CN"/>
        </w:rPr>
        <w:t>1.77</w:t>
      </w:r>
      <w:r>
        <w:rPr>
          <w:sz w:val="28"/>
          <w:szCs w:val="28"/>
          <w:highlight w:val="none"/>
          <w:lang w:val="ru-RU"/>
        </w:rPr>
        <w:t>%</w:t>
      </w:r>
      <w:r>
        <w:rPr>
          <w:rFonts w:hint="eastAsia"/>
          <w:sz w:val="28"/>
          <w:szCs w:val="28"/>
          <w:highlight w:val="none"/>
          <w:lang w:val="ru-RU"/>
        </w:rPr>
        <w:t>，</w:t>
      </w:r>
      <w:r>
        <w:rPr>
          <w:rFonts w:hint="eastAsia"/>
          <w:sz w:val="28"/>
          <w:szCs w:val="28"/>
          <w:highlight w:val="none"/>
          <w:lang w:val="en-US" w:eastAsia="zh-CN"/>
        </w:rPr>
        <w:t>根据</w:t>
      </w:r>
      <w:r>
        <w:rPr>
          <w:sz w:val="28"/>
          <w:szCs w:val="28"/>
          <w:highlight w:val="none"/>
          <w:lang w:val="ru-RU"/>
        </w:rPr>
        <w:t>20</w:t>
      </w:r>
      <w:r>
        <w:rPr>
          <w:rFonts w:hint="eastAsia"/>
          <w:sz w:val="28"/>
          <w:szCs w:val="28"/>
          <w:highlight w:val="none"/>
          <w:lang w:val="en-US" w:eastAsia="zh-CN"/>
        </w:rPr>
        <w:t>21</w:t>
      </w:r>
      <w:r>
        <w:rPr>
          <w:sz w:val="28"/>
          <w:szCs w:val="28"/>
          <w:highlight w:val="none"/>
          <w:lang w:val="ru-RU"/>
        </w:rPr>
        <w:t>-20</w:t>
      </w:r>
      <w:r>
        <w:rPr>
          <w:rFonts w:hint="eastAsia"/>
          <w:sz w:val="28"/>
          <w:szCs w:val="28"/>
          <w:highlight w:val="none"/>
          <w:lang w:val="en-US" w:eastAsia="zh-CN"/>
        </w:rPr>
        <w:t>23</w:t>
      </w:r>
      <w:r>
        <w:rPr>
          <w:rFonts w:hint="eastAsia"/>
          <w:sz w:val="28"/>
          <w:szCs w:val="28"/>
          <w:highlight w:val="none"/>
          <w:lang w:val="ru-RU"/>
        </w:rPr>
        <w:t>届毕业生</w:t>
      </w:r>
      <w:r>
        <w:rPr>
          <w:rFonts w:hint="eastAsia"/>
          <w:sz w:val="28"/>
          <w:szCs w:val="28"/>
          <w:highlight w:val="none"/>
          <w:lang w:val="en-US" w:eastAsia="zh-CN"/>
        </w:rPr>
        <w:t>自主创业人数</w:t>
      </w:r>
      <w:r>
        <w:rPr>
          <w:rFonts w:hint="eastAsia"/>
          <w:sz w:val="28"/>
          <w:szCs w:val="28"/>
          <w:highlight w:val="none"/>
          <w:lang w:val="ru-RU"/>
        </w:rPr>
        <w:t>变化趋势</w:t>
      </w:r>
      <w:r>
        <w:rPr>
          <w:rFonts w:hint="eastAsia"/>
          <w:sz w:val="28"/>
          <w:szCs w:val="28"/>
          <w:highlight w:val="none"/>
          <w:lang w:val="en-US" w:eastAsia="zh-CN"/>
        </w:rPr>
        <w:t>可知，毕业生自主创业人数</w:t>
      </w:r>
      <w:r>
        <w:rPr>
          <w:rFonts w:hint="eastAsia"/>
          <w:sz w:val="28"/>
          <w:szCs w:val="28"/>
          <w:lang w:val="en-US" w:eastAsia="zh-CN"/>
        </w:rPr>
        <w:t>逐年增加，且2023届毕业生自主创业人数增长幅度较大</w:t>
      </w:r>
      <w:r>
        <w:rPr>
          <w:rFonts w:hint="eastAsia"/>
          <w:sz w:val="28"/>
          <w:szCs w:val="28"/>
          <w:highlight w:val="none"/>
          <w:lang w:val="ru-RU"/>
        </w:rPr>
        <w:t>。详见下图。</w:t>
      </w:r>
    </w:p>
    <w:p>
      <w:pPr>
        <w:jc w:val="left"/>
        <w:rPr>
          <w:sz w:val="28"/>
          <w:szCs w:val="28"/>
        </w:rPr>
      </w:pPr>
      <w:r>
        <w:rPr>
          <w:sz w:val="28"/>
          <w:szCs w:val="28"/>
        </w:rPr>
        <w:drawing>
          <wp:inline distT="0" distB="0" distL="0" distR="0">
            <wp:extent cx="5274310" cy="3076575"/>
            <wp:effectExtent l="5080" t="4445" r="16510" b="508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pPr>
        <w:jc w:val="center"/>
        <w:rPr>
          <w:rFonts w:hint="default" w:asciiTheme="minorEastAsia" w:hAnsiTheme="minorEastAsia" w:eastAsiaTheme="minorEastAsia"/>
          <w:sz w:val="20"/>
          <w:szCs w:val="20"/>
          <w:lang w:val="en-US" w:eastAsia="zh-CN"/>
        </w:rPr>
      </w:pPr>
      <w:r>
        <w:rPr>
          <w:rFonts w:hint="eastAsia" w:asciiTheme="minorEastAsia" w:hAnsiTheme="minorEastAsia" w:eastAsiaTheme="minorEastAsia"/>
          <w:sz w:val="20"/>
          <w:szCs w:val="20"/>
          <w:lang w:val="ru-RU"/>
        </w:rPr>
        <w:t>图</w:t>
      </w:r>
      <w:r>
        <w:rPr>
          <w:rFonts w:asciiTheme="minorEastAsia" w:hAnsiTheme="minorEastAsia" w:eastAsiaTheme="minorEastAsia"/>
          <w:sz w:val="20"/>
          <w:szCs w:val="20"/>
          <w:lang w:val="ru-RU"/>
        </w:rPr>
        <w:t xml:space="preserve"> </w:t>
      </w:r>
      <w:r>
        <w:rPr>
          <w:rFonts w:hint="eastAsia" w:asciiTheme="minorEastAsia" w:hAnsiTheme="minorEastAsia" w:eastAsiaTheme="minorEastAsia"/>
          <w:sz w:val="20"/>
          <w:szCs w:val="20"/>
          <w:lang w:val="en-US" w:eastAsia="zh-CN"/>
        </w:rPr>
        <w:t>10</w:t>
      </w:r>
      <w:r>
        <w:rPr>
          <w:rFonts w:asciiTheme="minorEastAsia" w:hAnsiTheme="minorEastAsia" w:eastAsiaTheme="minorEastAsia"/>
          <w:sz w:val="20"/>
          <w:szCs w:val="20"/>
          <w:lang w:val="ru-RU"/>
        </w:rPr>
        <w:t>-</w:t>
      </w:r>
      <w:r>
        <w:rPr>
          <w:rFonts w:hint="eastAsia" w:asciiTheme="minorEastAsia" w:hAnsiTheme="minorEastAsia" w:eastAsiaTheme="minorEastAsia"/>
          <w:sz w:val="20"/>
          <w:szCs w:val="20"/>
          <w:lang w:val="en-US" w:eastAsia="zh-CN"/>
        </w:rPr>
        <w:t>3</w:t>
      </w:r>
      <w:r>
        <w:rPr>
          <w:rFonts w:asciiTheme="minorEastAsia" w:hAnsiTheme="minorEastAsia" w:eastAsiaTheme="minorEastAsia"/>
          <w:sz w:val="20"/>
          <w:szCs w:val="20"/>
          <w:lang w:val="ru-RU"/>
        </w:rPr>
        <w:t xml:space="preserve"> 20</w:t>
      </w:r>
      <w:r>
        <w:rPr>
          <w:rFonts w:hint="eastAsia" w:asciiTheme="minorEastAsia" w:hAnsiTheme="minorEastAsia" w:eastAsiaTheme="minorEastAsia"/>
          <w:sz w:val="20"/>
          <w:szCs w:val="20"/>
          <w:lang w:val="en-US" w:eastAsia="zh-CN"/>
        </w:rPr>
        <w:t>21</w:t>
      </w:r>
      <w:r>
        <w:rPr>
          <w:rFonts w:asciiTheme="minorEastAsia" w:hAnsiTheme="minorEastAsia" w:eastAsiaTheme="minorEastAsia"/>
          <w:sz w:val="20"/>
          <w:szCs w:val="20"/>
          <w:lang w:val="ru-RU"/>
        </w:rPr>
        <w:t>-20</w:t>
      </w:r>
      <w:r>
        <w:rPr>
          <w:rFonts w:hint="eastAsia" w:asciiTheme="minorEastAsia" w:hAnsiTheme="minorEastAsia" w:eastAsiaTheme="minorEastAsia"/>
          <w:sz w:val="20"/>
          <w:szCs w:val="20"/>
          <w:lang w:val="en-US" w:eastAsia="zh-CN"/>
        </w:rPr>
        <w:t>23</w:t>
      </w:r>
      <w:r>
        <w:rPr>
          <w:rFonts w:hint="eastAsia" w:asciiTheme="minorEastAsia" w:hAnsiTheme="minorEastAsia" w:eastAsiaTheme="minorEastAsia"/>
          <w:sz w:val="20"/>
          <w:szCs w:val="20"/>
          <w:lang w:val="ru-RU"/>
        </w:rPr>
        <w:t>届毕业生</w:t>
      </w:r>
      <w:r>
        <w:rPr>
          <w:rFonts w:hint="eastAsia" w:asciiTheme="minorEastAsia" w:hAnsiTheme="minorEastAsia" w:eastAsiaTheme="minorEastAsia"/>
          <w:sz w:val="20"/>
          <w:szCs w:val="20"/>
          <w:lang w:val="en-US" w:eastAsia="zh-CN"/>
        </w:rPr>
        <w:t>自主创业情况</w:t>
      </w:r>
    </w:p>
    <w:p>
      <w:pPr>
        <w:jc w:val="left"/>
        <w:rPr>
          <w:rFonts w:hint="eastAsia"/>
          <w:sz w:val="28"/>
          <w:szCs w:val="28"/>
          <w:lang w:val="ru-RU"/>
        </w:rPr>
      </w:pPr>
    </w:p>
    <w:p>
      <w:pPr>
        <w:pStyle w:val="6"/>
        <w:rPr>
          <w:rFonts w:hint="eastAsia"/>
          <w:sz w:val="28"/>
          <w:szCs w:val="28"/>
          <w:lang w:val="ru-RU"/>
        </w:rPr>
      </w:pPr>
    </w:p>
    <w:p>
      <w:pPr>
        <w:pStyle w:val="2"/>
        <w:rPr>
          <w:rFonts w:hint="eastAsia"/>
          <w:sz w:val="28"/>
          <w:szCs w:val="28"/>
          <w:lang w:val="ru-RU"/>
        </w:rPr>
      </w:pPr>
    </w:p>
    <w:p>
      <w:pPr>
        <w:rPr>
          <w:rFonts w:hint="eastAsia"/>
          <w:sz w:val="28"/>
          <w:szCs w:val="28"/>
          <w:lang w:val="ru-RU"/>
        </w:rPr>
      </w:pPr>
    </w:p>
    <w:p>
      <w:pPr>
        <w:pStyle w:val="6"/>
        <w:rPr>
          <w:rFonts w:hint="eastAsia"/>
          <w:sz w:val="28"/>
          <w:szCs w:val="28"/>
          <w:lang w:val="ru-RU"/>
        </w:rPr>
      </w:pPr>
    </w:p>
    <w:p>
      <w:pPr>
        <w:pStyle w:val="2"/>
        <w:rPr>
          <w:rFonts w:hint="eastAsia"/>
          <w:sz w:val="28"/>
          <w:szCs w:val="28"/>
          <w:lang w:val="ru-RU"/>
        </w:rPr>
      </w:pPr>
    </w:p>
    <w:p>
      <w:pPr>
        <w:rPr>
          <w:rFonts w:hint="eastAsia"/>
          <w:sz w:val="28"/>
          <w:szCs w:val="28"/>
          <w:lang w:val="ru-RU"/>
        </w:rPr>
      </w:pPr>
    </w:p>
    <w:p>
      <w:pPr>
        <w:pStyle w:val="2"/>
        <w:ind w:left="0" w:leftChars="0" w:firstLine="0" w:firstLineChars="0"/>
        <w:rPr>
          <w:rFonts w:hint="eastAsia"/>
          <w:lang w:val="ru-RU"/>
        </w:rPr>
      </w:pPr>
    </w:p>
    <w:p>
      <w:pPr>
        <w:rPr>
          <w:rFonts w:hint="eastAsia"/>
          <w:lang w:val="ru-RU"/>
        </w:rPr>
      </w:pPr>
    </w:p>
    <w:p>
      <w:pPr>
        <w:pStyle w:val="6"/>
        <w:rPr>
          <w:rFonts w:hint="eastAsia"/>
          <w:lang w:val="ru-RU"/>
        </w:rPr>
      </w:pPr>
    </w:p>
    <w:p>
      <w:pPr>
        <w:jc w:val="center"/>
        <w:rPr>
          <w:sz w:val="36"/>
          <w:szCs w:val="36"/>
          <w:highlight w:val="yellow"/>
          <w:lang w:val="ru-RU"/>
        </w:rPr>
      </w:pPr>
      <w:r>
        <w:rPr>
          <w:rFonts w:hint="eastAsia"/>
          <w:sz w:val="36"/>
          <w:szCs w:val="36"/>
          <w:highlight w:val="none"/>
          <w:lang w:val="en-US" w:eastAsia="zh-CN"/>
        </w:rPr>
        <w:t>第十一章</w:t>
      </w:r>
      <w:r>
        <w:rPr>
          <w:rFonts w:hint="eastAsia"/>
          <w:sz w:val="36"/>
          <w:szCs w:val="36"/>
          <w:highlight w:val="none"/>
          <w:lang w:val="ru-RU"/>
        </w:rPr>
        <w:t xml:space="preserve"> </w:t>
      </w:r>
      <w:r>
        <w:rPr>
          <w:sz w:val="36"/>
          <w:szCs w:val="36"/>
          <w:highlight w:val="none"/>
          <w:lang w:val="ru-RU"/>
        </w:rPr>
        <w:t>20</w:t>
      </w:r>
      <w:r>
        <w:rPr>
          <w:rFonts w:hint="eastAsia"/>
          <w:sz w:val="36"/>
          <w:szCs w:val="36"/>
          <w:highlight w:val="none"/>
          <w:lang w:val="en-US" w:eastAsia="zh-CN"/>
        </w:rPr>
        <w:t>23</w:t>
      </w:r>
      <w:r>
        <w:rPr>
          <w:sz w:val="36"/>
          <w:szCs w:val="36"/>
          <w:highlight w:val="none"/>
          <w:lang w:val="ru-RU"/>
        </w:rPr>
        <w:t>届毕业生就业工作举措</w:t>
      </w:r>
    </w:p>
    <w:p>
      <w:pPr>
        <w:ind w:firstLine="560" w:firstLineChars="200"/>
        <w:jc w:val="left"/>
        <w:rPr>
          <w:sz w:val="28"/>
          <w:szCs w:val="28"/>
          <w:lang w:val="ru-RU"/>
        </w:rPr>
      </w:pPr>
      <w:r>
        <w:rPr>
          <w:sz w:val="28"/>
          <w:szCs w:val="28"/>
          <w:lang w:val="ru-RU"/>
        </w:rPr>
        <w:t>学</w:t>
      </w:r>
      <w:r>
        <w:rPr>
          <w:rFonts w:hint="eastAsia"/>
          <w:sz w:val="28"/>
          <w:szCs w:val="28"/>
          <w:lang w:val="en-US" w:eastAsia="zh-CN"/>
        </w:rPr>
        <w:t>校</w:t>
      </w:r>
      <w:r>
        <w:rPr>
          <w:sz w:val="28"/>
          <w:szCs w:val="28"/>
          <w:lang w:val="ru-RU"/>
        </w:rPr>
        <w:t>高度重视就业创业工作，</w:t>
      </w:r>
      <w:r>
        <w:rPr>
          <w:rFonts w:hint="eastAsia"/>
          <w:sz w:val="28"/>
          <w:szCs w:val="28"/>
          <w:lang w:val="ru-RU" w:eastAsia="zh-CN"/>
        </w:rPr>
        <w:t>认真</w:t>
      </w:r>
      <w:r>
        <w:rPr>
          <w:sz w:val="28"/>
          <w:szCs w:val="28"/>
          <w:lang w:val="ru-RU"/>
        </w:rPr>
        <w:t>落实就业创业“一把手工程”，以高质量就业为导向，整合校内外资源</w:t>
      </w:r>
      <w:r>
        <w:rPr>
          <w:rFonts w:hint="eastAsia"/>
          <w:sz w:val="28"/>
          <w:szCs w:val="28"/>
          <w:lang w:val="ru-RU" w:eastAsia="zh-CN"/>
        </w:rPr>
        <w:t>，</w:t>
      </w:r>
      <w:r>
        <w:rPr>
          <w:sz w:val="28"/>
          <w:szCs w:val="28"/>
          <w:lang w:val="ru-RU"/>
        </w:rPr>
        <w:t>逐步形成了领导重视、管理科学、机构完善、制度健全、队伍专业、经费充裕的良好工作局面。20</w:t>
      </w:r>
      <w:r>
        <w:rPr>
          <w:rFonts w:hint="eastAsia"/>
          <w:sz w:val="28"/>
          <w:szCs w:val="28"/>
          <w:lang w:val="en-US" w:eastAsia="zh-CN"/>
        </w:rPr>
        <w:t>23</w:t>
      </w:r>
      <w:r>
        <w:rPr>
          <w:rFonts w:hint="eastAsia"/>
          <w:sz w:val="28"/>
          <w:szCs w:val="28"/>
          <w:lang w:val="ru-RU"/>
        </w:rPr>
        <w:t>届</w:t>
      </w:r>
      <w:r>
        <w:rPr>
          <w:sz w:val="28"/>
          <w:szCs w:val="28"/>
          <w:lang w:val="ru-RU"/>
        </w:rPr>
        <w:t>毕业生的年终</w:t>
      </w:r>
      <w:r>
        <w:rPr>
          <w:rFonts w:hint="eastAsia"/>
          <w:sz w:val="28"/>
          <w:szCs w:val="28"/>
          <w:lang w:val="en-US" w:eastAsia="zh-CN"/>
        </w:rPr>
        <w:t>毕业去向落实</w:t>
      </w:r>
      <w:r>
        <w:rPr>
          <w:sz w:val="28"/>
          <w:szCs w:val="28"/>
          <w:lang w:val="ru-RU"/>
        </w:rPr>
        <w:t>率在</w:t>
      </w:r>
      <w:r>
        <w:rPr>
          <w:rFonts w:hint="eastAsia"/>
          <w:sz w:val="28"/>
          <w:szCs w:val="28"/>
          <w:lang w:val="ru-RU"/>
        </w:rPr>
        <w:t>9</w:t>
      </w:r>
      <w:r>
        <w:rPr>
          <w:rFonts w:hint="eastAsia"/>
          <w:sz w:val="28"/>
          <w:szCs w:val="28"/>
          <w:lang w:val="en-US" w:eastAsia="zh-CN"/>
        </w:rPr>
        <w:t>5</w:t>
      </w:r>
      <w:r>
        <w:rPr>
          <w:sz w:val="28"/>
          <w:szCs w:val="28"/>
          <w:lang w:val="ru-RU"/>
        </w:rPr>
        <w:t>%以上，实现了毕业生满意和用人单位满意的双满意目标。</w:t>
      </w:r>
      <w:r>
        <w:rPr>
          <w:rFonts w:hint="eastAsia"/>
          <w:sz w:val="28"/>
          <w:szCs w:val="28"/>
          <w:lang w:val="ru-RU"/>
        </w:rPr>
        <w:t>主要做法是</w:t>
      </w:r>
      <w:r>
        <w:rPr>
          <w:sz w:val="28"/>
          <w:szCs w:val="28"/>
          <w:lang w:val="ru-RU"/>
        </w:rPr>
        <w:t>：</w:t>
      </w:r>
    </w:p>
    <w:p>
      <w:pPr>
        <w:numPr>
          <w:ilvl w:val="0"/>
          <w:numId w:val="14"/>
        </w:numPr>
        <w:spacing w:line="580" w:lineRule="exact"/>
        <w:ind w:firstLine="562" w:firstLineChars="200"/>
        <w:rPr>
          <w:rFonts w:hint="eastAsia" w:ascii="宋体" w:hAnsi="宋体" w:eastAsia="宋体" w:cs="宋体"/>
          <w:b/>
          <w:bCs w:val="0"/>
          <w:sz w:val="28"/>
          <w:szCs w:val="28"/>
        </w:rPr>
      </w:pPr>
      <w:r>
        <w:rPr>
          <w:rFonts w:hint="eastAsia" w:ascii="宋体" w:hAnsi="宋体" w:eastAsia="宋体" w:cs="宋体"/>
          <w:b/>
          <w:bCs w:val="0"/>
          <w:kern w:val="0"/>
          <w:sz w:val="28"/>
          <w:szCs w:val="28"/>
          <w:lang w:val="en-US" w:eastAsia="zh-CN" w:bidi="ar-SA"/>
        </w:rPr>
        <w:t>始终</w:t>
      </w:r>
      <w:r>
        <w:rPr>
          <w:rFonts w:hint="eastAsia" w:ascii="宋体" w:hAnsi="宋体" w:eastAsia="宋体" w:cs="宋体"/>
          <w:b/>
          <w:bCs w:val="0"/>
          <w:sz w:val="28"/>
          <w:szCs w:val="28"/>
        </w:rPr>
        <w:t>把政治建设摆在首位，坚决做到“两个维护”</w:t>
      </w:r>
    </w:p>
    <w:p>
      <w:pPr>
        <w:numPr>
          <w:ilvl w:val="0"/>
          <w:numId w:val="0"/>
        </w:numPr>
        <w:spacing w:line="580" w:lineRule="exact"/>
        <w:ind w:firstLine="560" w:firstLineChars="200"/>
        <w:rPr>
          <w:sz w:val="28"/>
          <w:szCs w:val="28"/>
          <w:lang w:val="ru-RU"/>
        </w:rPr>
      </w:pPr>
      <w:r>
        <w:rPr>
          <w:rFonts w:hint="eastAsia" w:ascii="宋体" w:hAnsi="宋体" w:eastAsia="宋体" w:cs="宋体"/>
          <w:sz w:val="28"/>
          <w:szCs w:val="28"/>
        </w:rPr>
        <w:t>持续推动习近平新时代中国特色社会主义思想进课程、进培训、进读本，注重学习的深化、内容的消化、实践的转化，引导干部师生始终同党中央保持高度一致。全面贯彻党的教育方针，在培养社会主义建设者和接班人上站稳立场、把牢方向，确保学</w:t>
      </w:r>
      <w:r>
        <w:rPr>
          <w:rFonts w:hint="eastAsia" w:ascii="宋体" w:hAnsi="宋体" w:cs="宋体"/>
          <w:sz w:val="28"/>
          <w:szCs w:val="28"/>
          <w:lang w:val="en-US" w:eastAsia="zh-CN"/>
        </w:rPr>
        <w:t>校</w:t>
      </w:r>
      <w:r>
        <w:rPr>
          <w:rFonts w:hint="eastAsia" w:ascii="宋体" w:hAnsi="宋体" w:eastAsia="宋体" w:cs="宋体"/>
          <w:sz w:val="28"/>
          <w:szCs w:val="28"/>
        </w:rPr>
        <w:t>发展始终在安定团结的良好局面下进行。</w:t>
      </w:r>
    </w:p>
    <w:p>
      <w:pPr>
        <w:numPr>
          <w:ilvl w:val="0"/>
          <w:numId w:val="14"/>
        </w:numPr>
        <w:spacing w:line="580" w:lineRule="exact"/>
        <w:ind w:firstLine="562" w:firstLineChars="200"/>
        <w:rPr>
          <w:rFonts w:hint="eastAsia"/>
          <w:sz w:val="28"/>
          <w:szCs w:val="28"/>
          <w:highlight w:val="none"/>
          <w:lang w:val="ru-RU"/>
        </w:rPr>
      </w:pPr>
      <w:r>
        <w:rPr>
          <w:rFonts w:hint="eastAsia" w:ascii="宋体" w:hAnsi="宋体" w:eastAsia="宋体" w:cs="宋体"/>
          <w:b/>
          <w:bCs w:val="0"/>
          <w:kern w:val="0"/>
          <w:sz w:val="28"/>
          <w:szCs w:val="28"/>
          <w:lang w:val="en-US" w:eastAsia="zh-CN" w:bidi="ar-SA"/>
        </w:rPr>
        <w:t>领导重视，全力保障到位</w:t>
      </w:r>
    </w:p>
    <w:p>
      <w:pPr>
        <w:numPr>
          <w:ilvl w:val="0"/>
          <w:numId w:val="0"/>
        </w:numPr>
        <w:spacing w:line="580" w:lineRule="exact"/>
        <w:ind w:firstLine="560" w:firstLineChars="200"/>
        <w:rPr>
          <w:rFonts w:hint="eastAsia"/>
          <w:sz w:val="28"/>
          <w:szCs w:val="28"/>
          <w:highlight w:val="none"/>
          <w:lang w:val="ru-RU"/>
        </w:rPr>
      </w:pPr>
      <w:r>
        <w:rPr>
          <w:rFonts w:hint="eastAsia"/>
          <w:sz w:val="28"/>
          <w:szCs w:val="28"/>
          <w:highlight w:val="none"/>
          <w:lang w:val="en-US" w:eastAsia="zh-CN"/>
        </w:rPr>
        <w:t>学校党委、行政高度重视毕业生就业创业工作，把就业创业工作放在关乎学校生存与可持续发展的战略高度，纳入学校事业发展规划，严格落实省教育厅工作要求，把提高学生就业创业能力、就业质量和毕业生毕业去向落实率作为就业创业工作的重中之重。</w:t>
      </w:r>
      <w:r>
        <w:rPr>
          <w:rFonts w:hint="eastAsia"/>
          <w:sz w:val="28"/>
          <w:szCs w:val="28"/>
          <w:highlight w:val="none"/>
          <w:lang w:val="ru-RU"/>
        </w:rPr>
        <w:t>书记、</w:t>
      </w:r>
      <w:r>
        <w:rPr>
          <w:rFonts w:hint="eastAsia"/>
          <w:sz w:val="28"/>
          <w:szCs w:val="28"/>
          <w:highlight w:val="none"/>
          <w:lang w:val="en-US" w:eastAsia="zh-CN"/>
        </w:rPr>
        <w:t>校</w:t>
      </w:r>
      <w:r>
        <w:rPr>
          <w:rFonts w:hint="eastAsia"/>
          <w:sz w:val="28"/>
          <w:szCs w:val="28"/>
          <w:highlight w:val="none"/>
          <w:lang w:val="ru-RU"/>
        </w:rPr>
        <w:t>长亲自抓</w:t>
      </w:r>
      <w:r>
        <w:rPr>
          <w:rFonts w:hint="eastAsia"/>
          <w:sz w:val="28"/>
          <w:szCs w:val="28"/>
          <w:highlight w:val="none"/>
          <w:lang w:val="en-US" w:eastAsia="zh-CN"/>
        </w:rPr>
        <w:t>就业创业工作</w:t>
      </w:r>
      <w:r>
        <w:rPr>
          <w:rFonts w:hint="eastAsia"/>
          <w:sz w:val="28"/>
          <w:szCs w:val="28"/>
          <w:highlight w:val="none"/>
          <w:lang w:val="ru-RU"/>
        </w:rPr>
        <w:t>，为我</w:t>
      </w:r>
      <w:r>
        <w:rPr>
          <w:rFonts w:hint="eastAsia"/>
          <w:sz w:val="28"/>
          <w:szCs w:val="28"/>
          <w:highlight w:val="none"/>
          <w:lang w:val="en-US" w:eastAsia="zh-CN"/>
        </w:rPr>
        <w:t>校</w:t>
      </w:r>
      <w:r>
        <w:rPr>
          <w:rFonts w:hint="eastAsia"/>
          <w:sz w:val="28"/>
          <w:szCs w:val="28"/>
          <w:highlight w:val="none"/>
          <w:lang w:val="ru-RU"/>
        </w:rPr>
        <w:t>就业创业工作提供有效保障。</w:t>
      </w:r>
    </w:p>
    <w:p>
      <w:pPr>
        <w:ind w:firstLine="562" w:firstLineChars="200"/>
        <w:jc w:val="left"/>
        <w:rPr>
          <w:rFonts w:hint="default"/>
          <w:b/>
          <w:bCs/>
          <w:sz w:val="28"/>
          <w:szCs w:val="28"/>
          <w:lang w:val="en-US" w:eastAsia="zh-CN"/>
        </w:rPr>
      </w:pPr>
      <w:r>
        <w:rPr>
          <w:rFonts w:hint="eastAsia"/>
          <w:b/>
          <w:bCs/>
          <w:sz w:val="28"/>
          <w:szCs w:val="28"/>
          <w:lang w:val="en-US" w:eastAsia="zh-CN"/>
        </w:rPr>
        <w:t>1.组织机构到位</w:t>
      </w:r>
    </w:p>
    <w:p>
      <w:pPr>
        <w:ind w:firstLine="560" w:firstLineChars="200"/>
        <w:jc w:val="left"/>
        <w:rPr>
          <w:rFonts w:hint="eastAsia" w:eastAsia="宋体" w:cs="Times New Roman"/>
          <w:sz w:val="28"/>
          <w:szCs w:val="28"/>
          <w:highlight w:val="none"/>
          <w:lang w:val="en-US" w:eastAsia="zh-CN"/>
        </w:rPr>
      </w:pPr>
      <w:r>
        <w:rPr>
          <w:rFonts w:hint="eastAsia"/>
          <w:sz w:val="28"/>
          <w:szCs w:val="28"/>
          <w:lang w:val="en-US" w:eastAsia="zh-CN"/>
        </w:rPr>
        <w:t>学校成立了校级就业创业工作领导小组，党委书记、校长任组长，党委委员任副组长，相关职能部门负责同志</w:t>
      </w:r>
      <w:r>
        <w:rPr>
          <w:rFonts w:hint="eastAsia"/>
          <w:sz w:val="28"/>
          <w:szCs w:val="28"/>
          <w:highlight w:val="none"/>
          <w:lang w:val="en-US" w:eastAsia="zh-CN"/>
        </w:rPr>
        <w:t>和二级学院总支书记、教学院长为成员的就业创业工作领导小组，统揽和部署学校毕业生就业工作。</w:t>
      </w:r>
      <w:r>
        <w:rPr>
          <w:rFonts w:hint="eastAsia" w:eastAsia="宋体" w:cs="Times New Roman"/>
          <w:sz w:val="28"/>
          <w:szCs w:val="28"/>
          <w:highlight w:val="none"/>
          <w:lang w:val="en-US" w:eastAsia="zh-CN"/>
        </w:rPr>
        <w:t>2022年9月以来，学校召开</w:t>
      </w:r>
      <w:r>
        <w:rPr>
          <w:rFonts w:hint="eastAsia" w:cs="Times New Roman"/>
          <w:sz w:val="28"/>
          <w:szCs w:val="28"/>
          <w:highlight w:val="none"/>
          <w:lang w:val="en-US" w:eastAsia="zh-CN"/>
        </w:rPr>
        <w:t>就业工作</w:t>
      </w:r>
      <w:r>
        <w:rPr>
          <w:rFonts w:hint="eastAsia" w:eastAsia="宋体" w:cs="Times New Roman"/>
          <w:sz w:val="28"/>
          <w:szCs w:val="28"/>
          <w:highlight w:val="none"/>
          <w:lang w:val="en-US" w:eastAsia="zh-CN"/>
        </w:rPr>
        <w:t>专题</w:t>
      </w:r>
      <w:r>
        <w:rPr>
          <w:rFonts w:hint="eastAsia" w:cs="Times New Roman"/>
          <w:sz w:val="28"/>
          <w:szCs w:val="28"/>
          <w:highlight w:val="none"/>
          <w:lang w:val="en-US" w:eastAsia="zh-CN"/>
        </w:rPr>
        <w:t>会议</w:t>
      </w:r>
      <w:r>
        <w:rPr>
          <w:rFonts w:hint="eastAsia" w:eastAsia="宋体" w:cs="Times New Roman"/>
          <w:sz w:val="28"/>
          <w:szCs w:val="28"/>
          <w:highlight w:val="none"/>
          <w:lang w:val="en-US" w:eastAsia="zh-CN"/>
        </w:rPr>
        <w:t>达14次，专题</w:t>
      </w:r>
      <w:r>
        <w:rPr>
          <w:rFonts w:hint="eastAsia" w:eastAsia="宋体" w:cs="Times New Roman"/>
          <w:sz w:val="28"/>
          <w:szCs w:val="28"/>
          <w:lang w:val="en-US" w:eastAsia="zh-CN"/>
        </w:rPr>
        <w:t>研究贯彻国家和省里有关会议、文</w:t>
      </w:r>
      <w:r>
        <w:rPr>
          <w:rFonts w:hint="default" w:eastAsia="宋体" w:cs="Times New Roman"/>
          <w:sz w:val="28"/>
          <w:szCs w:val="28"/>
          <w:lang w:val="en-US" w:eastAsia="zh-CN"/>
        </w:rPr>
        <w:t>件精神及学校就业工作。</w:t>
      </w:r>
      <w:r>
        <w:rPr>
          <w:rFonts w:hint="eastAsia" w:eastAsia="宋体" w:cs="Times New Roman"/>
          <w:sz w:val="28"/>
          <w:szCs w:val="28"/>
          <w:lang w:val="en-US" w:eastAsia="zh-CN"/>
        </w:rPr>
        <w:t>二</w:t>
      </w:r>
      <w:r>
        <w:rPr>
          <w:rFonts w:hint="eastAsia"/>
          <w:sz w:val="28"/>
          <w:szCs w:val="28"/>
          <w:lang w:val="en-US" w:eastAsia="zh-CN"/>
        </w:rPr>
        <w:t>级学院成立了由总支书记、院长任组长，总支副书记、辅导员为成员的就业</w:t>
      </w:r>
      <w:r>
        <w:rPr>
          <w:rFonts w:hint="eastAsia" w:eastAsia="宋体" w:cs="Times New Roman"/>
          <w:sz w:val="28"/>
          <w:szCs w:val="28"/>
          <w:highlight w:val="none"/>
          <w:lang w:val="en-US" w:eastAsia="zh-CN"/>
        </w:rPr>
        <w:t>创业工作领导小组，负责处理各二级学院毕业生就业创业的具体事务，为就业创业指导、服务、管理提供了有利的组织保障。</w:t>
      </w:r>
    </w:p>
    <w:p>
      <w:pPr>
        <w:ind w:firstLine="562" w:firstLineChars="200"/>
        <w:jc w:val="left"/>
        <w:rPr>
          <w:rFonts w:hint="eastAsia" w:eastAsia="宋体" w:cs="Times New Roman"/>
          <w:b/>
          <w:bCs/>
          <w:sz w:val="28"/>
          <w:szCs w:val="28"/>
          <w:highlight w:val="none"/>
          <w:lang w:val="en-US" w:eastAsia="zh-CN"/>
        </w:rPr>
      </w:pPr>
      <w:r>
        <w:rPr>
          <w:rFonts w:hint="eastAsia" w:eastAsia="宋体" w:cs="Times New Roman"/>
          <w:b/>
          <w:bCs/>
          <w:sz w:val="28"/>
          <w:szCs w:val="28"/>
          <w:highlight w:val="none"/>
          <w:lang w:val="en-US" w:eastAsia="zh-CN"/>
        </w:rPr>
        <w:t>2.制度到位</w:t>
      </w:r>
    </w:p>
    <w:p>
      <w:pPr>
        <w:ind w:firstLine="560" w:firstLineChars="200"/>
        <w:jc w:val="left"/>
        <w:rPr>
          <w:rFonts w:hint="default" w:eastAsia="宋体" w:cs="Times New Roman"/>
          <w:sz w:val="28"/>
          <w:szCs w:val="28"/>
          <w:highlight w:val="none"/>
          <w:lang w:val="en-US" w:eastAsia="zh-CN"/>
        </w:rPr>
      </w:pPr>
      <w:r>
        <w:rPr>
          <w:rFonts w:hint="eastAsia" w:eastAsia="宋体" w:cs="Times New Roman"/>
          <w:sz w:val="28"/>
          <w:szCs w:val="28"/>
          <w:highlight w:val="none"/>
          <w:lang w:val="en-US" w:eastAsia="zh-CN"/>
        </w:rPr>
        <w:t>学校下发了《邵阳职业技术学院关于开展2023届毕业生“就业促进周”暨“百日冲刺”活动方案》、《邵阳职业技术学院访企拓岗促就业专项行动实施方案》、《关于做好我校2023届困难毕业生群体就业帮扶工作的通知》等13</w:t>
      </w:r>
      <w:r>
        <w:rPr>
          <w:rFonts w:hint="default" w:eastAsia="宋体" w:cs="Times New Roman"/>
          <w:sz w:val="28"/>
          <w:szCs w:val="28"/>
          <w:highlight w:val="none"/>
          <w:lang w:val="en-US" w:eastAsia="zh-CN"/>
        </w:rPr>
        <w:t>个文件</w:t>
      </w:r>
      <w:r>
        <w:rPr>
          <w:rFonts w:hint="eastAsia" w:eastAsia="宋体" w:cs="Times New Roman"/>
          <w:sz w:val="28"/>
          <w:szCs w:val="28"/>
          <w:highlight w:val="none"/>
          <w:lang w:val="en-US" w:eastAsia="zh-CN"/>
        </w:rPr>
        <w:t>，各二级学院也</w:t>
      </w:r>
      <w:r>
        <w:rPr>
          <w:rFonts w:hint="default" w:eastAsia="宋体" w:cs="Times New Roman"/>
          <w:sz w:val="28"/>
          <w:szCs w:val="28"/>
          <w:highlight w:val="none"/>
          <w:lang w:val="en-US" w:eastAsia="zh-CN"/>
        </w:rPr>
        <w:t>制定</w:t>
      </w:r>
      <w:r>
        <w:rPr>
          <w:rFonts w:hint="eastAsia" w:eastAsia="宋体" w:cs="Times New Roman"/>
          <w:sz w:val="28"/>
          <w:szCs w:val="28"/>
          <w:highlight w:val="none"/>
          <w:lang w:val="en-US" w:eastAsia="zh-CN"/>
        </w:rPr>
        <w:t>了</w:t>
      </w:r>
      <w:r>
        <w:rPr>
          <w:rFonts w:hint="default" w:eastAsia="宋体" w:cs="Times New Roman"/>
          <w:sz w:val="28"/>
          <w:szCs w:val="28"/>
          <w:highlight w:val="none"/>
          <w:lang w:val="en-US" w:eastAsia="zh-CN"/>
        </w:rPr>
        <w:t>具体、配套的就业创业工作方案，促进工作落到实处。</w:t>
      </w:r>
    </w:p>
    <w:p>
      <w:pPr>
        <w:ind w:firstLine="562" w:firstLineChars="200"/>
        <w:jc w:val="left"/>
        <w:rPr>
          <w:rFonts w:hint="default" w:eastAsia="宋体" w:cs="Times New Roman"/>
          <w:b/>
          <w:bCs/>
          <w:sz w:val="28"/>
          <w:szCs w:val="28"/>
          <w:highlight w:val="none"/>
          <w:lang w:val="en-US" w:eastAsia="zh-CN"/>
        </w:rPr>
      </w:pPr>
      <w:r>
        <w:rPr>
          <w:rFonts w:hint="eastAsia" w:eastAsia="宋体" w:cs="Times New Roman"/>
          <w:b/>
          <w:bCs/>
          <w:sz w:val="28"/>
          <w:szCs w:val="28"/>
          <w:highlight w:val="none"/>
          <w:lang w:val="en-US" w:eastAsia="zh-CN"/>
        </w:rPr>
        <w:t>3.人员到位</w:t>
      </w:r>
    </w:p>
    <w:p>
      <w:pPr>
        <w:ind w:firstLine="560" w:firstLineChars="200"/>
        <w:jc w:val="left"/>
        <w:rPr>
          <w:rFonts w:hint="eastAsia" w:eastAsia="宋体" w:cs="Times New Roman"/>
          <w:sz w:val="28"/>
          <w:szCs w:val="28"/>
          <w:highlight w:val="none"/>
          <w:lang w:val="en-US" w:eastAsia="zh-CN"/>
        </w:rPr>
      </w:pPr>
      <w:r>
        <w:rPr>
          <w:rFonts w:hint="eastAsia" w:eastAsia="宋体" w:cs="Times New Roman"/>
          <w:sz w:val="28"/>
          <w:szCs w:val="28"/>
          <w:highlight w:val="none"/>
          <w:lang w:val="en-US" w:eastAsia="zh-CN"/>
        </w:rPr>
        <w:t>学校成立了就业创业服务中心，全面负责就业</w:t>
      </w:r>
      <w:r>
        <w:rPr>
          <w:rFonts w:hint="eastAsia"/>
          <w:sz w:val="28"/>
          <w:szCs w:val="28"/>
          <w:lang w:val="en-US" w:eastAsia="zh-CN"/>
        </w:rPr>
        <w:t>创业工作的组织实施。学校近几年每年毕业生人数逐年增加，2023届毕业生人数为近年最高，达4022人，我校配备了就业创业专职人员9名，就业创业工作专职人员与应届毕业生的比例为1:447，达到教育部每500名毕业生至少配备一名就业专职人员的规定。</w:t>
      </w:r>
      <w:r>
        <w:rPr>
          <w:rFonts w:hint="eastAsia" w:eastAsia="宋体" w:cs="Times New Roman"/>
          <w:sz w:val="28"/>
          <w:szCs w:val="28"/>
          <w:highlight w:val="none"/>
          <w:lang w:val="en-US" w:eastAsia="zh-CN"/>
        </w:rPr>
        <w:t>建立健全就业创业教研室，充分发挥教研室在学生职业生涯规划、就业创业教学工作中的作用。重视师资队伍建设，吸纳兼职教师20余名。把《职业生涯规划与就业指导课》教师纳入职称评选范围，提高老师上课积极性。加强高素质专业化教师队伍培养，多次选送任课老师参加生涯规划师、创新创业导师等师资培训，致力打造内外互补、专兼结合的就业指导教师队伍。</w:t>
      </w:r>
    </w:p>
    <w:p>
      <w:pPr>
        <w:numPr>
          <w:ilvl w:val="0"/>
          <w:numId w:val="0"/>
        </w:numPr>
        <w:ind w:leftChars="0" w:firstLine="562" w:firstLineChars="200"/>
        <w:jc w:val="left"/>
        <w:rPr>
          <w:rFonts w:hint="default"/>
          <w:b/>
          <w:bCs/>
          <w:sz w:val="28"/>
          <w:szCs w:val="28"/>
          <w:lang w:val="en-US" w:eastAsia="zh-CN"/>
        </w:rPr>
      </w:pPr>
      <w:r>
        <w:rPr>
          <w:rFonts w:hint="eastAsia"/>
          <w:b/>
          <w:bCs/>
          <w:sz w:val="28"/>
          <w:szCs w:val="28"/>
          <w:lang w:val="en-US" w:eastAsia="zh-CN"/>
        </w:rPr>
        <w:t>4.经费到位</w:t>
      </w:r>
    </w:p>
    <w:p>
      <w:pPr>
        <w:ind w:firstLine="560" w:firstLineChars="200"/>
        <w:jc w:val="left"/>
        <w:rPr>
          <w:rFonts w:hint="default"/>
          <w:sz w:val="28"/>
          <w:szCs w:val="28"/>
          <w:lang w:val="en-US" w:eastAsia="zh-CN"/>
        </w:rPr>
      </w:pPr>
      <w:r>
        <w:rPr>
          <w:rFonts w:hint="eastAsia"/>
          <w:sz w:val="28"/>
          <w:szCs w:val="28"/>
          <w:lang w:val="en-US" w:eastAsia="zh-CN"/>
        </w:rPr>
        <w:t>学校每年按照不低于学费总额1%的标准安排就业工作专项经费，并列入财务预算，优先安排，2023年就业专项经费为48万元。按照不低于学费总额0.5%的标准安排创新创业教育专项经费，2023年创新创业教育专项经费为24万元。</w:t>
      </w:r>
    </w:p>
    <w:p>
      <w:pPr>
        <w:numPr>
          <w:ilvl w:val="0"/>
          <w:numId w:val="14"/>
        </w:numPr>
        <w:spacing w:line="580" w:lineRule="exact"/>
        <w:ind w:firstLine="562" w:firstLineChars="200"/>
        <w:rPr>
          <w:rFonts w:hint="eastAsia"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齐心协力，推进构建高质量就业指导服务体系</w:t>
      </w:r>
    </w:p>
    <w:p>
      <w:pPr>
        <w:numPr>
          <w:ilvl w:val="0"/>
          <w:numId w:val="0"/>
        </w:numPr>
        <w:spacing w:line="580" w:lineRule="exact"/>
        <w:ind w:firstLine="562" w:firstLineChars="200"/>
        <w:rPr>
          <w:rFonts w:hint="eastAsia"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1.积极开拓就业市场</w:t>
      </w:r>
    </w:p>
    <w:p>
      <w:pPr>
        <w:ind w:firstLine="560" w:firstLineChars="200"/>
        <w:jc w:val="left"/>
        <w:rPr>
          <w:rFonts w:hint="default" w:eastAsia="宋体" w:cs="Times New Roman"/>
          <w:sz w:val="28"/>
          <w:szCs w:val="28"/>
          <w:lang w:val="en-US" w:eastAsia="zh-CN"/>
        </w:rPr>
      </w:pPr>
      <w:r>
        <w:rPr>
          <w:rFonts w:hint="eastAsia" w:eastAsia="宋体" w:cs="Times New Roman"/>
          <w:sz w:val="28"/>
          <w:szCs w:val="28"/>
          <w:lang w:val="en-US" w:eastAsia="zh-CN"/>
        </w:rPr>
        <w:t>学校以重点行业和重点地域为依</w:t>
      </w:r>
      <w:r>
        <w:rPr>
          <w:rFonts w:hint="default" w:eastAsia="宋体" w:cs="Times New Roman"/>
          <w:sz w:val="28"/>
          <w:szCs w:val="28"/>
          <w:lang w:val="en-US" w:eastAsia="zh-CN"/>
        </w:rPr>
        <w:t>托</w:t>
      </w:r>
      <w:r>
        <w:rPr>
          <w:rFonts w:hint="eastAsia" w:eastAsia="宋体" w:cs="Times New Roman"/>
          <w:sz w:val="28"/>
          <w:szCs w:val="28"/>
          <w:lang w:val="en-US" w:eastAsia="zh-CN"/>
        </w:rPr>
        <w:t>，在党委书记、校长的示范带领下，二级学院党政负责人主动认领，持续开展访企拓岗，</w:t>
      </w:r>
      <w:r>
        <w:rPr>
          <w:rFonts w:hint="eastAsia"/>
          <w:sz w:val="28"/>
          <w:szCs w:val="28"/>
          <w:lang w:val="ru-RU"/>
        </w:rPr>
        <w:t>深入企业调研，了解企业人才需求</w:t>
      </w:r>
      <w:r>
        <w:rPr>
          <w:rFonts w:hint="eastAsia"/>
          <w:sz w:val="28"/>
          <w:szCs w:val="28"/>
          <w:lang w:val="ru-RU" w:eastAsia="zh-CN"/>
        </w:rPr>
        <w:t>，</w:t>
      </w:r>
      <w:r>
        <w:rPr>
          <w:rFonts w:hint="eastAsia"/>
          <w:sz w:val="28"/>
          <w:szCs w:val="28"/>
          <w:lang w:val="en-US" w:eastAsia="zh-CN"/>
        </w:rPr>
        <w:t>全面推进</w:t>
      </w:r>
      <w:r>
        <w:rPr>
          <w:rFonts w:hint="eastAsia"/>
          <w:sz w:val="28"/>
          <w:szCs w:val="28"/>
          <w:lang w:val="ru-RU"/>
        </w:rPr>
        <w:t>校企深度合作</w:t>
      </w:r>
      <w:r>
        <w:rPr>
          <w:rFonts w:hint="eastAsia" w:eastAsia="宋体" w:cs="Times New Roman"/>
          <w:sz w:val="28"/>
          <w:szCs w:val="28"/>
          <w:lang w:val="en-US" w:eastAsia="zh-CN"/>
        </w:rPr>
        <w:t>。学校加强与邵阳本地各县（市、区）经开区的对接，开展了“企业进校园，学生入园区”主题活动。与洞口经开区联合组织2024届洞口、武冈籍学生与企业座谈会，增进企业与学生之间的了解，提升学生本地就业意愿。通过走访企业，对接各县市区经开区、招聘会与企业单位面对面等方式，总计走访和对接的企业达162家，与往年相比有大幅度提升，为学生拓宽了就业岗位，为毕业生就业建立了稳定的就业市场。</w:t>
      </w:r>
    </w:p>
    <w:p>
      <w:pPr>
        <w:numPr>
          <w:ilvl w:val="0"/>
          <w:numId w:val="0"/>
        </w:numPr>
        <w:spacing w:line="580" w:lineRule="exact"/>
        <w:ind w:firstLine="562" w:firstLineChars="200"/>
        <w:rPr>
          <w:rFonts w:hint="eastAsia"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2.主动对接外部资源</w:t>
      </w:r>
    </w:p>
    <w:p>
      <w:pPr>
        <w:ind w:firstLine="562" w:firstLineChars="200"/>
        <w:jc w:val="left"/>
        <w:rPr>
          <w:rFonts w:hint="eastAsia" w:ascii="仿宋_GB2312" w:hAnsi="Times New Roman" w:eastAsia="仿宋_GB2312" w:cs="Times New Roman"/>
          <w:color w:val="000000"/>
          <w:kern w:val="0"/>
          <w:sz w:val="32"/>
          <w:szCs w:val="32"/>
          <w:lang w:val="en-US" w:eastAsia="zh-CN" w:bidi="zh-TW"/>
        </w:rPr>
      </w:pPr>
      <w:r>
        <w:rPr>
          <w:rFonts w:hint="eastAsia" w:eastAsia="宋体" w:cs="Times New Roman"/>
          <w:b/>
          <w:bCs/>
          <w:sz w:val="28"/>
          <w:szCs w:val="28"/>
          <w:lang w:val="en-US" w:eastAsia="zh-CN"/>
        </w:rPr>
        <w:t>一是</w:t>
      </w:r>
      <w:r>
        <w:rPr>
          <w:rFonts w:hint="eastAsia" w:eastAsia="宋体" w:cs="Times New Roman"/>
          <w:sz w:val="28"/>
          <w:szCs w:val="28"/>
          <w:lang w:val="en-US" w:eastAsia="zh-CN"/>
        </w:rPr>
        <w:t>学校联合邵阳市人力资源社会保障局、团市委开展了“就业扬帆 政策护航”高校毕业生等青年就业创业政策宣传进校园活动。</w:t>
      </w:r>
      <w:r>
        <w:rPr>
          <w:rFonts w:hint="eastAsia" w:eastAsia="宋体" w:cs="Times New Roman"/>
          <w:b/>
          <w:bCs/>
          <w:sz w:val="28"/>
          <w:szCs w:val="28"/>
          <w:lang w:val="en-US" w:eastAsia="zh-CN"/>
        </w:rPr>
        <w:t>二是</w:t>
      </w:r>
      <w:r>
        <w:rPr>
          <w:rFonts w:hint="eastAsia" w:eastAsia="宋体" w:cs="Times New Roman"/>
          <w:sz w:val="28"/>
          <w:szCs w:val="28"/>
          <w:lang w:val="en-US" w:eastAsia="zh-CN"/>
        </w:rPr>
        <w:t>联合邵阳市就业服务中心开展了2023年</w:t>
      </w:r>
      <w:r>
        <w:rPr>
          <w:rFonts w:hint="default" w:eastAsia="宋体" w:cs="Times New Roman"/>
          <w:sz w:val="28"/>
          <w:szCs w:val="28"/>
          <w:lang w:val="en-US" w:eastAsia="zh-CN"/>
        </w:rPr>
        <w:t>“就业指导进校园”、“创业服务进校园”高校毕业生就业服务活动</w:t>
      </w:r>
      <w:r>
        <w:rPr>
          <w:rFonts w:hint="eastAsia" w:eastAsia="宋体" w:cs="Times New Roman"/>
          <w:sz w:val="28"/>
          <w:szCs w:val="28"/>
          <w:lang w:val="en-US" w:eastAsia="zh-CN"/>
        </w:rPr>
        <w:t>。</w:t>
      </w:r>
      <w:r>
        <w:rPr>
          <w:rFonts w:hint="eastAsia" w:eastAsia="宋体" w:cs="Times New Roman"/>
          <w:b/>
          <w:bCs/>
          <w:sz w:val="28"/>
          <w:szCs w:val="28"/>
          <w:lang w:val="en-US" w:eastAsia="zh-CN"/>
        </w:rPr>
        <w:t>三是</w:t>
      </w:r>
      <w:r>
        <w:rPr>
          <w:rFonts w:hint="eastAsia" w:eastAsia="宋体" w:cs="Times New Roman"/>
          <w:sz w:val="28"/>
          <w:szCs w:val="28"/>
          <w:lang w:val="en-US" w:eastAsia="zh-CN"/>
        </w:rPr>
        <w:t>联合邵阳市退役军人事务局在我校召开退役军人就业工作研讨会，针对我校961名退役军人开展就业指导与帮扶工作。</w:t>
      </w:r>
      <w:r>
        <w:rPr>
          <w:rFonts w:hint="eastAsia" w:eastAsia="宋体" w:cs="Times New Roman"/>
          <w:b/>
          <w:bCs/>
          <w:sz w:val="28"/>
          <w:szCs w:val="28"/>
          <w:lang w:val="en-US" w:eastAsia="zh-CN"/>
        </w:rPr>
        <w:t>四是</w:t>
      </w:r>
      <w:r>
        <w:rPr>
          <w:rFonts w:hint="eastAsia" w:eastAsia="宋体" w:cs="Times New Roman"/>
          <w:sz w:val="28"/>
          <w:szCs w:val="28"/>
          <w:lang w:val="en-US" w:eastAsia="zh-CN"/>
        </w:rPr>
        <w:t>联合邵阳本地企业家开展“讲好就业创业故事 传递青春榜样力量暨企业家进校园”系列活动五场。这些活动与就业创业指导课程教育融合在一块，帮助学生转变就业创业观念，增强就业创业技巧，提高就业创业综合竞争力。</w:t>
      </w:r>
    </w:p>
    <w:p>
      <w:pPr>
        <w:numPr>
          <w:ilvl w:val="0"/>
          <w:numId w:val="0"/>
        </w:numPr>
        <w:spacing w:line="580" w:lineRule="exact"/>
        <w:ind w:firstLine="562" w:firstLineChars="200"/>
        <w:rPr>
          <w:rFonts w:hint="default"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3.</w:t>
      </w:r>
      <w:r>
        <w:rPr>
          <w:rFonts w:hint="eastAsia" w:ascii="仿宋" w:hAnsi="仿宋" w:eastAsia="仿宋" w:cs="仿宋"/>
          <w:b/>
          <w:bCs/>
          <w:sz w:val="32"/>
          <w:szCs w:val="32"/>
          <w:lang w:val="en-US" w:eastAsia="zh-CN"/>
        </w:rPr>
        <w:t>多措并举做好就业指导与服务</w:t>
      </w:r>
    </w:p>
    <w:p>
      <w:pPr>
        <w:ind w:firstLine="562" w:firstLineChars="200"/>
        <w:jc w:val="left"/>
        <w:rPr>
          <w:rFonts w:hint="eastAsia" w:ascii="仿宋" w:hAnsi="仿宋" w:eastAsia="仿宋" w:cs="仿宋"/>
          <w:b/>
          <w:bCs/>
          <w:kern w:val="2"/>
          <w:sz w:val="32"/>
          <w:szCs w:val="32"/>
          <w:lang w:val="en-US" w:eastAsia="zh-CN" w:bidi="ar-SA"/>
        </w:rPr>
      </w:pPr>
      <w:r>
        <w:rPr>
          <w:rFonts w:hint="eastAsia" w:eastAsia="宋体" w:cs="Times New Roman"/>
          <w:b/>
          <w:bCs/>
          <w:sz w:val="28"/>
          <w:szCs w:val="28"/>
          <w:lang w:val="en-US" w:eastAsia="zh-CN"/>
        </w:rPr>
        <w:t>一是</w:t>
      </w:r>
      <w:r>
        <w:rPr>
          <w:rFonts w:hint="eastAsia" w:eastAsia="宋体" w:cs="Times New Roman"/>
          <w:sz w:val="28"/>
          <w:szCs w:val="28"/>
          <w:lang w:val="en-US" w:eastAsia="zh-CN"/>
        </w:rPr>
        <w:t>扎实做好毕业生招聘会工作。</w:t>
      </w:r>
      <w:r>
        <w:rPr>
          <w:rFonts w:hint="eastAsia" w:cs="Times New Roman"/>
          <w:sz w:val="28"/>
          <w:szCs w:val="28"/>
          <w:lang w:val="en-US" w:eastAsia="zh-CN"/>
        </w:rPr>
        <w:t>2022年9月以来</w:t>
      </w:r>
      <w:r>
        <w:rPr>
          <w:rFonts w:hint="eastAsia" w:eastAsia="宋体" w:cs="Times New Roman"/>
          <w:sz w:val="28"/>
          <w:szCs w:val="28"/>
          <w:lang w:val="en-US" w:eastAsia="zh-CN"/>
        </w:rPr>
        <w:t>，我校共计举办线上线下招</w:t>
      </w:r>
      <w:r>
        <w:rPr>
          <w:rFonts w:hint="eastAsia" w:eastAsia="宋体" w:cs="Times New Roman"/>
          <w:sz w:val="28"/>
          <w:szCs w:val="28"/>
          <w:highlight w:val="none"/>
          <w:lang w:val="en-US" w:eastAsia="zh-CN"/>
        </w:rPr>
        <w:t>聘会2</w:t>
      </w:r>
      <w:r>
        <w:rPr>
          <w:rFonts w:hint="eastAsia" w:cs="Times New Roman"/>
          <w:sz w:val="28"/>
          <w:szCs w:val="28"/>
          <w:highlight w:val="none"/>
          <w:lang w:val="en-US" w:eastAsia="zh-CN"/>
        </w:rPr>
        <w:t>5</w:t>
      </w:r>
      <w:r>
        <w:rPr>
          <w:rFonts w:hint="eastAsia" w:eastAsia="宋体" w:cs="Times New Roman"/>
          <w:sz w:val="28"/>
          <w:szCs w:val="28"/>
          <w:highlight w:val="none"/>
          <w:lang w:val="en-US" w:eastAsia="zh-CN"/>
        </w:rPr>
        <w:t>场，其中线下17场、线上</w:t>
      </w:r>
      <w:r>
        <w:rPr>
          <w:rFonts w:hint="eastAsia" w:cs="Times New Roman"/>
          <w:sz w:val="28"/>
          <w:szCs w:val="28"/>
          <w:highlight w:val="none"/>
          <w:lang w:val="en-US" w:eastAsia="zh-CN"/>
        </w:rPr>
        <w:t>8</w:t>
      </w:r>
      <w:r>
        <w:rPr>
          <w:rFonts w:hint="eastAsia" w:eastAsia="宋体" w:cs="Times New Roman"/>
          <w:sz w:val="28"/>
          <w:szCs w:val="28"/>
          <w:highlight w:val="none"/>
          <w:lang w:val="en-US" w:eastAsia="zh-CN"/>
        </w:rPr>
        <w:t>场，参加招聘单位</w:t>
      </w:r>
      <w:r>
        <w:rPr>
          <w:rFonts w:hint="eastAsia" w:cs="Times New Roman"/>
          <w:sz w:val="28"/>
          <w:szCs w:val="28"/>
          <w:highlight w:val="none"/>
          <w:lang w:val="en-US" w:eastAsia="zh-CN"/>
        </w:rPr>
        <w:t>429</w:t>
      </w:r>
      <w:r>
        <w:rPr>
          <w:rFonts w:hint="eastAsia" w:eastAsia="宋体" w:cs="Times New Roman"/>
          <w:sz w:val="28"/>
          <w:szCs w:val="28"/>
          <w:highlight w:val="none"/>
          <w:lang w:val="en-US" w:eastAsia="zh-CN"/>
        </w:rPr>
        <w:t>家，提供就业岗位</w:t>
      </w:r>
      <w:r>
        <w:rPr>
          <w:rFonts w:hint="eastAsia" w:cs="Times New Roman"/>
          <w:sz w:val="28"/>
          <w:szCs w:val="28"/>
          <w:highlight w:val="none"/>
          <w:lang w:val="en-US" w:eastAsia="zh-CN"/>
        </w:rPr>
        <w:t>15025</w:t>
      </w:r>
      <w:r>
        <w:rPr>
          <w:rFonts w:hint="eastAsia" w:eastAsia="宋体" w:cs="Times New Roman"/>
          <w:sz w:val="28"/>
          <w:szCs w:val="28"/>
          <w:highlight w:val="none"/>
          <w:lang w:val="en-US" w:eastAsia="zh-CN"/>
        </w:rPr>
        <w:t>个，</w:t>
      </w:r>
      <w:r>
        <w:rPr>
          <w:rFonts w:hint="eastAsia" w:eastAsia="宋体" w:cs="Times New Roman"/>
          <w:sz w:val="28"/>
          <w:szCs w:val="28"/>
          <w:lang w:val="en-US" w:eastAsia="zh-CN"/>
        </w:rPr>
        <w:t>毕业生达成就业意向</w:t>
      </w:r>
      <w:r>
        <w:rPr>
          <w:rFonts w:hint="eastAsia" w:cs="Times New Roman"/>
          <w:sz w:val="28"/>
          <w:szCs w:val="28"/>
          <w:lang w:val="en-US" w:eastAsia="zh-CN"/>
        </w:rPr>
        <w:t>3182</w:t>
      </w:r>
      <w:r>
        <w:rPr>
          <w:rFonts w:hint="eastAsia" w:eastAsia="宋体" w:cs="Times New Roman"/>
          <w:sz w:val="28"/>
          <w:szCs w:val="28"/>
          <w:lang w:val="en-US" w:eastAsia="zh-CN"/>
        </w:rPr>
        <w:t>人。</w:t>
      </w:r>
      <w:r>
        <w:rPr>
          <w:rFonts w:hint="eastAsia" w:eastAsia="宋体" w:cs="Times New Roman"/>
          <w:b/>
          <w:bCs/>
          <w:sz w:val="28"/>
          <w:szCs w:val="28"/>
          <w:lang w:val="en-US" w:eastAsia="zh-CN"/>
        </w:rPr>
        <w:t>二是</w:t>
      </w:r>
      <w:r>
        <w:rPr>
          <w:rFonts w:hint="eastAsia" w:eastAsia="宋体" w:cs="Times New Roman"/>
          <w:sz w:val="28"/>
          <w:szCs w:val="28"/>
          <w:lang w:val="en-US" w:eastAsia="zh-CN"/>
        </w:rPr>
        <w:t>加强就业教育和观念引导。举办内容多样的讲座和线下活动，“职引未来”主题</w:t>
      </w:r>
      <w:r>
        <w:rPr>
          <w:rFonts w:hint="eastAsia" w:cs="Times New Roman"/>
          <w:sz w:val="28"/>
          <w:szCs w:val="28"/>
          <w:lang w:val="en-US" w:eastAsia="zh-CN"/>
        </w:rPr>
        <w:t>求</w:t>
      </w:r>
      <w:r>
        <w:rPr>
          <w:rFonts w:hint="eastAsia" w:eastAsia="宋体" w:cs="Times New Roman"/>
          <w:sz w:val="28"/>
          <w:szCs w:val="28"/>
          <w:lang w:val="en-US" w:eastAsia="zh-CN"/>
        </w:rPr>
        <w:t>职创业宣讲会2场、求职避“坑”指南——学生安全就业指导课，举办了2023级新生职业生涯规划专题讲座，线上线下参与人数达4000余人，直播浏览量达29.1万人次。坚持“以赛促学、以赛促教、以赛促创”的理念，举办了学校首届“勇往职前”学生简历制作大赛、组织学生参加“首届全国大学生职业规划大赛”，大学生科技创新创业大赛、“创青春”青年创新创业大赛、黄炎培创业创新大赛、“互联网+”大学生创新创业大赛、大学生“挑战杯”创业计划竞赛等，不断提升学生创新、创业、创意的“三创”能力。</w:t>
      </w:r>
      <w:r>
        <w:rPr>
          <w:rFonts w:hint="eastAsia"/>
          <w:sz w:val="28"/>
          <w:szCs w:val="28"/>
          <w:lang w:val="en-US" w:eastAsia="zh-CN"/>
        </w:rPr>
        <w:t>积极组织学生开展SYB创业培训，2023年共有630名学生参加培训。</w:t>
      </w:r>
      <w:r>
        <w:rPr>
          <w:rFonts w:hint="eastAsia" w:eastAsia="宋体" w:cs="Times New Roman"/>
          <w:b/>
          <w:bCs/>
          <w:sz w:val="28"/>
          <w:szCs w:val="28"/>
          <w:lang w:val="en-US" w:eastAsia="zh-CN"/>
        </w:rPr>
        <w:t>三是</w:t>
      </w:r>
      <w:r>
        <w:rPr>
          <w:rFonts w:hint="eastAsia" w:eastAsia="宋体" w:cs="Times New Roman"/>
          <w:sz w:val="28"/>
          <w:szCs w:val="28"/>
          <w:lang w:val="en-US" w:eastAsia="zh-CN"/>
        </w:rPr>
        <w:t>加强生涯教育和就业指导。</w:t>
      </w:r>
      <w:r>
        <w:rPr>
          <w:rFonts w:hint="eastAsia" w:cs="Times New Roman"/>
          <w:sz w:val="28"/>
          <w:szCs w:val="28"/>
          <w:lang w:val="en-US" w:eastAsia="zh-CN"/>
        </w:rPr>
        <w:t>加强</w:t>
      </w:r>
      <w:r>
        <w:rPr>
          <w:rFonts w:hint="eastAsia" w:eastAsia="宋体" w:cs="Times New Roman"/>
          <w:sz w:val="28"/>
          <w:szCs w:val="28"/>
          <w:lang w:val="en-US" w:eastAsia="zh-CN"/>
        </w:rPr>
        <w:t>就业创业教研室</w:t>
      </w:r>
      <w:r>
        <w:rPr>
          <w:rFonts w:hint="eastAsia" w:cs="Times New Roman"/>
          <w:sz w:val="28"/>
          <w:szCs w:val="28"/>
          <w:lang w:val="en-US" w:eastAsia="zh-CN"/>
        </w:rPr>
        <w:t>建设</w:t>
      </w:r>
      <w:r>
        <w:rPr>
          <w:rFonts w:hint="eastAsia" w:eastAsia="宋体" w:cs="Times New Roman"/>
          <w:sz w:val="28"/>
          <w:szCs w:val="28"/>
          <w:lang w:val="en-US" w:eastAsia="zh-CN"/>
        </w:rPr>
        <w:t>，推动全校各专业将课程建设作为强化就业指导服务的重要内容，作为必修课列入教学计划，给予学时学分保障。强化大学生生涯发展与就业指导课程建设，完善《职业生涯规划与就业指导课》、《创新创业基础》两门课程标准，修订完善人才培养方案。与邵阳市就业服务中心联合开展“就业指导进校园”、“创业服务进校园”活动。持续做好就业指导公益直播课，提供丰富优质课程资源。</w:t>
      </w:r>
      <w:r>
        <w:rPr>
          <w:rFonts w:hint="eastAsia" w:eastAsia="宋体" w:cs="Times New Roman"/>
          <w:b/>
          <w:bCs/>
          <w:sz w:val="28"/>
          <w:szCs w:val="28"/>
          <w:lang w:val="en-US" w:eastAsia="zh-CN"/>
        </w:rPr>
        <w:t>四是</w:t>
      </w:r>
      <w:r>
        <w:rPr>
          <w:rFonts w:hint="eastAsia" w:eastAsia="宋体" w:cs="Times New Roman"/>
          <w:sz w:val="28"/>
          <w:szCs w:val="28"/>
          <w:lang w:val="en-US" w:eastAsia="zh-CN"/>
        </w:rPr>
        <w:t>学校始终坚持征兵工作与就业工作有机结合，作为主责主抓、大事大抓，牢牢抓住高校宣传主阵地,充分发挥班主任、辅导员作用，不漏一人做好思想发动、政策宣讲、答疑解惑。我校学生投身国防建设热情高涨，2023年共85人参军入伍。</w:t>
      </w:r>
      <w:r>
        <w:rPr>
          <w:rFonts w:hint="eastAsia" w:eastAsia="宋体" w:cs="Times New Roman"/>
          <w:b/>
          <w:bCs/>
          <w:sz w:val="28"/>
          <w:szCs w:val="28"/>
          <w:lang w:val="en-US" w:eastAsia="zh-CN"/>
        </w:rPr>
        <w:t>五是</w:t>
      </w:r>
      <w:r>
        <w:rPr>
          <w:rFonts w:hint="eastAsia"/>
          <w:sz w:val="28"/>
          <w:szCs w:val="28"/>
          <w:lang w:val="en-US" w:eastAsia="zh-CN"/>
        </w:rPr>
        <w:t>学校充分利用学校就业信息</w:t>
      </w:r>
      <w:r>
        <w:rPr>
          <w:rFonts w:hint="eastAsia" w:eastAsia="宋体" w:cs="Times New Roman"/>
          <w:sz w:val="28"/>
          <w:szCs w:val="28"/>
          <w:lang w:val="en-US" w:eastAsia="zh-CN"/>
        </w:rPr>
        <w:t>网、微信群、QQ</w:t>
      </w:r>
      <w:r>
        <w:rPr>
          <w:rFonts w:hint="default" w:eastAsia="宋体" w:cs="Times New Roman"/>
          <w:sz w:val="28"/>
          <w:szCs w:val="28"/>
          <w:lang w:val="en-US" w:eastAsia="zh-CN"/>
        </w:rPr>
        <w:t>群、</w:t>
      </w:r>
      <w:r>
        <w:rPr>
          <w:rFonts w:hint="eastAsia" w:eastAsia="宋体" w:cs="Times New Roman"/>
          <w:sz w:val="28"/>
          <w:szCs w:val="28"/>
          <w:lang w:val="en-US" w:eastAsia="zh-CN"/>
        </w:rPr>
        <w:t>国家大学生就业服务平台等</w:t>
      </w:r>
      <w:r>
        <w:rPr>
          <w:rFonts w:hint="default" w:eastAsia="宋体" w:cs="Times New Roman"/>
          <w:sz w:val="28"/>
          <w:szCs w:val="28"/>
          <w:lang w:val="en-US" w:eastAsia="zh-CN"/>
        </w:rPr>
        <w:t>多种媒介及时发布用人单位需求信息</w:t>
      </w:r>
      <w:r>
        <w:rPr>
          <w:rFonts w:hint="eastAsia" w:eastAsia="宋体" w:cs="Times New Roman"/>
          <w:sz w:val="28"/>
          <w:szCs w:val="28"/>
          <w:lang w:val="en-US" w:eastAsia="zh-CN"/>
        </w:rPr>
        <w:t>，为毕业生精准推送就业岗位，提供就</w:t>
      </w:r>
      <w:r>
        <w:rPr>
          <w:rFonts w:hint="eastAsia"/>
          <w:sz w:val="28"/>
          <w:szCs w:val="28"/>
          <w:lang w:val="en-US" w:eastAsia="zh-CN"/>
        </w:rPr>
        <w:t>业创业服务。</w:t>
      </w:r>
      <w:r>
        <w:rPr>
          <w:rFonts w:hint="eastAsia" w:eastAsia="宋体" w:cs="Times New Roman"/>
          <w:b/>
          <w:bCs/>
          <w:sz w:val="28"/>
          <w:szCs w:val="28"/>
          <w:lang w:val="en-US" w:eastAsia="zh-CN"/>
        </w:rPr>
        <w:t>六是</w:t>
      </w:r>
      <w:r>
        <w:rPr>
          <w:rFonts w:hint="eastAsia" w:eastAsia="宋体" w:cs="Times New Roman"/>
          <w:sz w:val="28"/>
          <w:szCs w:val="28"/>
          <w:lang w:val="en-US" w:eastAsia="zh-CN"/>
        </w:rPr>
        <w:t>通过多种方式开展就业创业政策宣传。为做好2023届毕业生就业服务工作，在学院醒目公告栏和官网公布毕业生基层就业政策、自主创业政策、应征入伍政策，宣传国家在学费补偿、资金扶持、税收、升学等方面的优惠举措。</w:t>
      </w:r>
    </w:p>
    <w:p>
      <w:pPr>
        <w:numPr>
          <w:ilvl w:val="0"/>
          <w:numId w:val="14"/>
        </w:numPr>
        <w:spacing w:line="580" w:lineRule="exact"/>
        <w:ind w:firstLine="562" w:firstLineChars="200"/>
        <w:rPr>
          <w:rFonts w:hint="default"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ru-RU" w:eastAsia="zh-CN" w:bidi="ar-SA"/>
        </w:rPr>
        <w:t>落实政策，</w:t>
      </w:r>
      <w:r>
        <w:rPr>
          <w:rFonts w:hint="eastAsia" w:ascii="宋体" w:hAnsi="宋体" w:eastAsia="宋体" w:cs="宋体"/>
          <w:b/>
          <w:bCs w:val="0"/>
          <w:kern w:val="0"/>
          <w:sz w:val="28"/>
          <w:szCs w:val="28"/>
          <w:lang w:val="en-US" w:eastAsia="zh-CN" w:bidi="ar-SA"/>
        </w:rPr>
        <w:t>精准帮扶</w:t>
      </w:r>
      <w:r>
        <w:rPr>
          <w:rFonts w:hint="eastAsia" w:ascii="宋体" w:hAnsi="宋体" w:eastAsia="宋体" w:cs="宋体"/>
          <w:b/>
          <w:bCs w:val="0"/>
          <w:kern w:val="0"/>
          <w:sz w:val="28"/>
          <w:szCs w:val="28"/>
          <w:lang w:val="ru-RU" w:eastAsia="zh-CN" w:bidi="ar-SA"/>
        </w:rPr>
        <w:t>特殊群体就业创业</w:t>
      </w:r>
    </w:p>
    <w:p>
      <w:pPr>
        <w:ind w:firstLine="562" w:firstLineChars="200"/>
        <w:jc w:val="left"/>
        <w:rPr>
          <w:sz w:val="28"/>
          <w:szCs w:val="28"/>
          <w:lang w:val="ru-RU"/>
        </w:rPr>
      </w:pPr>
      <w:r>
        <w:rPr>
          <w:rFonts w:hint="eastAsia"/>
          <w:b/>
          <w:bCs/>
          <w:sz w:val="28"/>
          <w:szCs w:val="28"/>
          <w:lang w:val="ru-RU"/>
        </w:rPr>
        <w:t>一是</w:t>
      </w:r>
      <w:r>
        <w:rPr>
          <w:rFonts w:hint="eastAsia"/>
          <w:sz w:val="28"/>
          <w:szCs w:val="28"/>
          <w:lang w:val="en-US" w:eastAsia="zh-CN"/>
        </w:rPr>
        <w:t>学校实行了校领导联系二级学院制度，做到了一个校领导联系一个二级学院，全面负责指导所联系二级学院的就业创业工作。</w:t>
      </w:r>
      <w:r>
        <w:rPr>
          <w:rFonts w:hint="eastAsia"/>
          <w:b/>
          <w:bCs/>
          <w:sz w:val="28"/>
          <w:szCs w:val="28"/>
          <w:lang w:val="en-US" w:eastAsia="zh-CN"/>
        </w:rPr>
        <w:t>二</w:t>
      </w:r>
      <w:r>
        <w:rPr>
          <w:rFonts w:hint="eastAsia"/>
          <w:b/>
          <w:bCs/>
          <w:sz w:val="28"/>
          <w:szCs w:val="28"/>
          <w:lang w:val="ru-RU"/>
        </w:rPr>
        <w:t>是</w:t>
      </w:r>
      <w:r>
        <w:rPr>
          <w:rFonts w:hint="eastAsia"/>
          <w:sz w:val="28"/>
          <w:szCs w:val="28"/>
          <w:lang w:val="ru-RU"/>
        </w:rPr>
        <w:t>各</w:t>
      </w:r>
      <w:r>
        <w:rPr>
          <w:rFonts w:hint="eastAsia"/>
          <w:sz w:val="28"/>
          <w:szCs w:val="28"/>
          <w:lang w:val="en-US" w:eastAsia="zh-CN"/>
        </w:rPr>
        <w:t>二级学院</w:t>
      </w:r>
      <w:r>
        <w:rPr>
          <w:rFonts w:hint="eastAsia"/>
          <w:sz w:val="28"/>
          <w:szCs w:val="28"/>
          <w:lang w:val="ru-RU"/>
        </w:rPr>
        <w:t>出台了就业困难学生帮扶措施，开展“一对一”的指导与帮扶。</w:t>
      </w:r>
      <w:r>
        <w:rPr>
          <w:rFonts w:hint="eastAsia"/>
          <w:b/>
          <w:bCs/>
          <w:sz w:val="28"/>
          <w:szCs w:val="28"/>
          <w:lang w:val="en-US" w:eastAsia="zh-CN"/>
        </w:rPr>
        <w:t>三是</w:t>
      </w:r>
      <w:r>
        <w:rPr>
          <w:rFonts w:hint="eastAsia" w:eastAsia="宋体" w:cs="Times New Roman"/>
          <w:sz w:val="28"/>
          <w:szCs w:val="28"/>
          <w:lang w:val="en-US" w:eastAsia="zh-CN"/>
        </w:rPr>
        <w:t>针对有劳动力和就业意愿的</w:t>
      </w:r>
      <w:r>
        <w:rPr>
          <w:rFonts w:hint="eastAsia" w:eastAsia="宋体" w:cs="Times New Roman"/>
          <w:sz w:val="28"/>
          <w:szCs w:val="28"/>
          <w:lang w:val="ru-RU"/>
        </w:rPr>
        <w:t>脱贫家庭（原建档立卡）、低保家庭、零就业家庭、残疾</w:t>
      </w:r>
      <w:r>
        <w:rPr>
          <w:rFonts w:hint="eastAsia" w:eastAsia="宋体" w:cs="Times New Roman"/>
          <w:sz w:val="28"/>
          <w:szCs w:val="28"/>
          <w:lang w:val="en-US" w:eastAsia="zh-CN"/>
        </w:rPr>
        <w:t>等</w:t>
      </w:r>
      <w:r>
        <w:rPr>
          <w:rFonts w:hint="eastAsia" w:eastAsia="宋体" w:cs="Times New Roman"/>
          <w:sz w:val="28"/>
          <w:szCs w:val="28"/>
          <w:highlight w:val="none"/>
          <w:lang w:val="en-US" w:eastAsia="zh-CN"/>
        </w:rPr>
        <w:t>513</w:t>
      </w:r>
      <w:r>
        <w:rPr>
          <w:rFonts w:hint="eastAsia" w:eastAsia="宋体" w:cs="Times New Roman"/>
          <w:sz w:val="28"/>
          <w:szCs w:val="28"/>
          <w:lang w:val="en-US" w:eastAsia="zh-CN"/>
        </w:rPr>
        <w:t>名困难毕业生开展“一对一”帮扶行动，按照“一人一档”“一人一策”建立“一对一”帮扶档案，二级学院指定一名党员干部或专业教师为一名或多名毕业生提供就业指导，至少推荐3次就业岗位等，实现</w:t>
      </w:r>
      <w:r>
        <w:rPr>
          <w:rFonts w:hint="eastAsia"/>
          <w:sz w:val="28"/>
          <w:szCs w:val="28"/>
          <w:lang w:val="en-US" w:eastAsia="zh-CN"/>
        </w:rPr>
        <w:t>有就业意向</w:t>
      </w:r>
      <w:r>
        <w:rPr>
          <w:rFonts w:hint="eastAsia"/>
          <w:sz w:val="28"/>
          <w:szCs w:val="28"/>
          <w:highlight w:val="none"/>
          <w:lang w:val="en-US" w:eastAsia="zh-CN"/>
        </w:rPr>
        <w:t>的困难毕业生</w:t>
      </w:r>
      <w:r>
        <w:rPr>
          <w:rFonts w:hint="eastAsia"/>
          <w:sz w:val="28"/>
          <w:szCs w:val="28"/>
          <w:lang w:val="en-US" w:eastAsia="zh-CN"/>
        </w:rPr>
        <w:t>100%就业。</w:t>
      </w:r>
      <w:r>
        <w:rPr>
          <w:rFonts w:hint="eastAsia"/>
          <w:b/>
          <w:bCs/>
          <w:sz w:val="28"/>
          <w:szCs w:val="28"/>
          <w:lang w:val="en-US" w:eastAsia="zh-CN"/>
        </w:rPr>
        <w:t>四是</w:t>
      </w:r>
      <w:r>
        <w:rPr>
          <w:rFonts w:hint="eastAsia" w:eastAsia="宋体" w:cs="Times New Roman"/>
          <w:sz w:val="28"/>
          <w:szCs w:val="28"/>
          <w:lang w:val="en-US" w:eastAsia="zh-CN"/>
        </w:rPr>
        <w:t>及时了解联系未就业的困难毕业生，开展谈心谈话，提供针对性职业指导和岗位推荐。</w:t>
      </w:r>
      <w:r>
        <w:rPr>
          <w:rFonts w:hint="eastAsia" w:eastAsia="宋体" w:cs="Times New Roman"/>
          <w:b/>
          <w:bCs/>
          <w:sz w:val="28"/>
          <w:szCs w:val="28"/>
          <w:lang w:val="en-US" w:eastAsia="zh-CN"/>
        </w:rPr>
        <w:t>五是</w:t>
      </w:r>
      <w:r>
        <w:rPr>
          <w:rFonts w:hint="eastAsia" w:eastAsia="宋体" w:cs="Times New Roman"/>
          <w:sz w:val="28"/>
          <w:szCs w:val="28"/>
          <w:lang w:val="en-US" w:eastAsia="zh-CN"/>
        </w:rPr>
        <w:t>学校为</w:t>
      </w:r>
      <w:r>
        <w:rPr>
          <w:rFonts w:hint="eastAsia" w:cs="Times New Roman"/>
          <w:sz w:val="28"/>
          <w:szCs w:val="28"/>
          <w:lang w:val="en-US" w:eastAsia="zh-CN"/>
        </w:rPr>
        <w:t>符合申报条件的就业</w:t>
      </w:r>
      <w:r>
        <w:rPr>
          <w:rFonts w:hint="eastAsia" w:eastAsia="宋体" w:cs="Times New Roman"/>
          <w:sz w:val="28"/>
          <w:szCs w:val="28"/>
          <w:lang w:val="en-US" w:eastAsia="zh-CN"/>
        </w:rPr>
        <w:t>创业困难大学生申请</w:t>
      </w:r>
      <w:r>
        <w:rPr>
          <w:rFonts w:hint="eastAsia" w:cs="Times New Roman"/>
          <w:sz w:val="28"/>
          <w:szCs w:val="28"/>
          <w:lang w:val="en-US" w:eastAsia="zh-CN"/>
        </w:rPr>
        <w:t>求职</w:t>
      </w:r>
      <w:r>
        <w:rPr>
          <w:rFonts w:hint="eastAsia" w:eastAsia="宋体" w:cs="Times New Roman"/>
          <w:sz w:val="28"/>
          <w:szCs w:val="28"/>
          <w:lang w:val="en-US" w:eastAsia="zh-CN"/>
        </w:rPr>
        <w:t>创业补贴，</w:t>
      </w:r>
      <w:r>
        <w:rPr>
          <w:rFonts w:hint="eastAsia"/>
          <w:sz w:val="28"/>
          <w:szCs w:val="28"/>
          <w:lang w:val="en-US" w:eastAsia="zh-CN"/>
        </w:rPr>
        <w:t>2023届毕业生中有453人申请了补助，共计679500元。</w:t>
      </w:r>
      <w:bookmarkStart w:id="0" w:name="_GoBack"/>
      <w:bookmarkEnd w:id="0"/>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GClCn4QEAAMEDAAAOAAAA&#10;AAAAAAEAIAAAAB4BAABkcnMvZTJvRG9jLnhtbFBLBQYAAAAABgAGAFkBAABx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 </w:t>
                          </w:r>
                          <w:r>
                            <w:fldChar w:fldCharType="begin"/>
                          </w:r>
                          <w:r>
                            <w:instrText xml:space="preserve"> PAGE  \* MERGEFORMAT </w:instrText>
                          </w:r>
                          <w:r>
                            <w:fldChar w:fldCharType="separate"/>
                          </w:r>
                          <w:r>
                            <w:t>I</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XQRuu4QEAAMEDAAAOAAAA&#10;AAAAAAEAIAAAAB4BAABkcnMvZTJvRG9jLnhtbFBLBQYAAAAABgAGAFkBAABxBQAAAAA=&#10;">
              <v:fill on="f" focussize="0,0"/>
              <v:stroke on="f"/>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I</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811B3"/>
    <w:multiLevelType w:val="singleLevel"/>
    <w:tmpl w:val="9BD811B3"/>
    <w:lvl w:ilvl="0" w:tentative="0">
      <w:start w:val="1"/>
      <w:numFmt w:val="chineseCounting"/>
      <w:suff w:val="nothing"/>
      <w:lvlText w:val="（%1）"/>
      <w:lvlJc w:val="left"/>
      <w:rPr>
        <w:rFonts w:hint="eastAsia"/>
      </w:rPr>
    </w:lvl>
  </w:abstractNum>
  <w:abstractNum w:abstractNumId="1">
    <w:nsid w:val="A859B67E"/>
    <w:multiLevelType w:val="singleLevel"/>
    <w:tmpl w:val="A859B67E"/>
    <w:lvl w:ilvl="0" w:tentative="0">
      <w:start w:val="1"/>
      <w:numFmt w:val="chineseCounting"/>
      <w:suff w:val="nothing"/>
      <w:lvlText w:val="%1、"/>
      <w:lvlJc w:val="left"/>
      <w:rPr>
        <w:rFonts w:hint="eastAsia"/>
      </w:rPr>
    </w:lvl>
  </w:abstractNum>
  <w:abstractNum w:abstractNumId="2">
    <w:nsid w:val="BECB7DE4"/>
    <w:multiLevelType w:val="singleLevel"/>
    <w:tmpl w:val="BECB7DE4"/>
    <w:lvl w:ilvl="0" w:tentative="0">
      <w:start w:val="1"/>
      <w:numFmt w:val="chineseCounting"/>
      <w:suff w:val="space"/>
      <w:lvlText w:val="第%1章"/>
      <w:lvlJc w:val="left"/>
      <w:rPr>
        <w:rFonts w:hint="eastAsia"/>
      </w:rPr>
    </w:lvl>
  </w:abstractNum>
  <w:abstractNum w:abstractNumId="3">
    <w:nsid w:val="D46B6CA5"/>
    <w:multiLevelType w:val="singleLevel"/>
    <w:tmpl w:val="D46B6CA5"/>
    <w:lvl w:ilvl="0" w:tentative="0">
      <w:start w:val="3"/>
      <w:numFmt w:val="chineseCounting"/>
      <w:suff w:val="space"/>
      <w:lvlText w:val="第%1章"/>
      <w:lvlJc w:val="left"/>
      <w:rPr>
        <w:rFonts w:hint="eastAsia"/>
      </w:rPr>
    </w:lvl>
  </w:abstractNum>
  <w:abstractNum w:abstractNumId="4">
    <w:nsid w:val="EA574250"/>
    <w:multiLevelType w:val="singleLevel"/>
    <w:tmpl w:val="EA574250"/>
    <w:lvl w:ilvl="0" w:tentative="0">
      <w:start w:val="2"/>
      <w:numFmt w:val="chineseCounting"/>
      <w:suff w:val="nothing"/>
      <w:lvlText w:val="（%1）"/>
      <w:lvlJc w:val="left"/>
      <w:rPr>
        <w:rFonts w:hint="eastAsia"/>
      </w:rPr>
    </w:lvl>
  </w:abstractNum>
  <w:abstractNum w:abstractNumId="5">
    <w:nsid w:val="F083C15D"/>
    <w:multiLevelType w:val="singleLevel"/>
    <w:tmpl w:val="F083C15D"/>
    <w:lvl w:ilvl="0" w:tentative="0">
      <w:start w:val="1"/>
      <w:numFmt w:val="chineseCounting"/>
      <w:suff w:val="nothing"/>
      <w:lvlText w:val="（%1）"/>
      <w:lvlJc w:val="left"/>
      <w:rPr>
        <w:rFonts w:hint="eastAsia"/>
      </w:rPr>
    </w:lvl>
  </w:abstractNum>
  <w:abstractNum w:abstractNumId="6">
    <w:nsid w:val="F4F2084C"/>
    <w:multiLevelType w:val="singleLevel"/>
    <w:tmpl w:val="F4F2084C"/>
    <w:lvl w:ilvl="0" w:tentative="0">
      <w:start w:val="1"/>
      <w:numFmt w:val="chineseCounting"/>
      <w:suff w:val="nothing"/>
      <w:lvlText w:val="（%1）"/>
      <w:lvlJc w:val="left"/>
      <w:rPr>
        <w:rFonts w:hint="eastAsia"/>
      </w:rPr>
    </w:lvl>
  </w:abstractNum>
  <w:abstractNum w:abstractNumId="7">
    <w:nsid w:val="F6E1CBAC"/>
    <w:multiLevelType w:val="singleLevel"/>
    <w:tmpl w:val="F6E1CBAC"/>
    <w:lvl w:ilvl="0" w:tentative="0">
      <w:start w:val="1"/>
      <w:numFmt w:val="chineseCounting"/>
      <w:suff w:val="nothing"/>
      <w:lvlText w:val="（%1）"/>
      <w:lvlJc w:val="left"/>
      <w:rPr>
        <w:rFonts w:hint="eastAsia"/>
      </w:rPr>
    </w:lvl>
  </w:abstractNum>
  <w:abstractNum w:abstractNumId="8">
    <w:nsid w:val="FB4DE228"/>
    <w:multiLevelType w:val="singleLevel"/>
    <w:tmpl w:val="FB4DE228"/>
    <w:lvl w:ilvl="0" w:tentative="0">
      <w:start w:val="1"/>
      <w:numFmt w:val="chineseCounting"/>
      <w:suff w:val="nothing"/>
      <w:lvlText w:val="（%1）"/>
      <w:lvlJc w:val="left"/>
      <w:rPr>
        <w:rFonts w:hint="eastAsia"/>
      </w:rPr>
    </w:lvl>
  </w:abstractNum>
  <w:abstractNum w:abstractNumId="9">
    <w:nsid w:val="FD86DC75"/>
    <w:multiLevelType w:val="singleLevel"/>
    <w:tmpl w:val="FD86DC75"/>
    <w:lvl w:ilvl="0" w:tentative="0">
      <w:start w:val="1"/>
      <w:numFmt w:val="chineseCounting"/>
      <w:suff w:val="nothing"/>
      <w:lvlText w:val="（%1）"/>
      <w:lvlJc w:val="left"/>
      <w:rPr>
        <w:rFonts w:hint="eastAsia"/>
      </w:rPr>
    </w:lvl>
  </w:abstractNum>
  <w:abstractNum w:abstractNumId="10">
    <w:nsid w:val="19457AEB"/>
    <w:multiLevelType w:val="singleLevel"/>
    <w:tmpl w:val="19457AEB"/>
    <w:lvl w:ilvl="0" w:tentative="0">
      <w:start w:val="3"/>
      <w:numFmt w:val="decimal"/>
      <w:lvlText w:val="%1."/>
      <w:lvlJc w:val="left"/>
      <w:pPr>
        <w:tabs>
          <w:tab w:val="left" w:pos="312"/>
        </w:tabs>
      </w:pPr>
    </w:lvl>
  </w:abstractNum>
  <w:abstractNum w:abstractNumId="11">
    <w:nsid w:val="3F71B729"/>
    <w:multiLevelType w:val="singleLevel"/>
    <w:tmpl w:val="3F71B729"/>
    <w:lvl w:ilvl="0" w:tentative="0">
      <w:start w:val="1"/>
      <w:numFmt w:val="chineseCounting"/>
      <w:suff w:val="nothing"/>
      <w:lvlText w:val="%1、"/>
      <w:lvlJc w:val="left"/>
      <w:pPr>
        <w:ind w:left="840"/>
      </w:pPr>
      <w:rPr>
        <w:rFonts w:hint="eastAsia"/>
      </w:rPr>
    </w:lvl>
  </w:abstractNum>
  <w:abstractNum w:abstractNumId="12">
    <w:nsid w:val="52AE9FAC"/>
    <w:multiLevelType w:val="singleLevel"/>
    <w:tmpl w:val="52AE9FAC"/>
    <w:lvl w:ilvl="0" w:tentative="0">
      <w:start w:val="1"/>
      <w:numFmt w:val="decimal"/>
      <w:lvlText w:val="%1."/>
      <w:lvlJc w:val="left"/>
      <w:pPr>
        <w:tabs>
          <w:tab w:val="left" w:pos="312"/>
        </w:tabs>
      </w:pPr>
    </w:lvl>
  </w:abstractNum>
  <w:abstractNum w:abstractNumId="13">
    <w:nsid w:val="6319CFAD"/>
    <w:multiLevelType w:val="singleLevel"/>
    <w:tmpl w:val="6319CFAD"/>
    <w:lvl w:ilvl="0" w:tentative="0">
      <w:start w:val="1"/>
      <w:numFmt w:val="chineseCounting"/>
      <w:suff w:val="nothing"/>
      <w:lvlText w:val="%1、"/>
      <w:lvlJc w:val="left"/>
      <w:rPr>
        <w:rFonts w:hint="eastAsia"/>
      </w:rPr>
    </w:lvl>
  </w:abstractNum>
  <w:num w:numId="1">
    <w:abstractNumId w:val="2"/>
  </w:num>
  <w:num w:numId="2">
    <w:abstractNumId w:val="11"/>
  </w:num>
  <w:num w:numId="3">
    <w:abstractNumId w:val="4"/>
  </w:num>
  <w:num w:numId="4">
    <w:abstractNumId w:val="10"/>
  </w:num>
  <w:num w:numId="5">
    <w:abstractNumId w:val="6"/>
  </w:num>
  <w:num w:numId="6">
    <w:abstractNumId w:val="0"/>
  </w:num>
  <w:num w:numId="7">
    <w:abstractNumId w:val="3"/>
  </w:num>
  <w:num w:numId="8">
    <w:abstractNumId w:val="7"/>
  </w:num>
  <w:num w:numId="9">
    <w:abstractNumId w:val="12"/>
  </w:num>
  <w:num w:numId="10">
    <w:abstractNumId w:val="9"/>
  </w:num>
  <w:num w:numId="11">
    <w:abstractNumId w:val="8"/>
  </w:num>
  <w:num w:numId="12">
    <w:abstractNumId w:val="1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N2VhOGNlNTVhM2FlZGM0YWE1YWM3M2Y3NTIyNjYifQ=="/>
    <w:docVar w:name="KSO_WPS_MARK_KEY" w:val="73981220-7dac-47d3-a2d6-1661c5afc580"/>
  </w:docVars>
  <w:rsids>
    <w:rsidRoot w:val="002B746E"/>
    <w:rsid w:val="00005402"/>
    <w:rsid w:val="00012789"/>
    <w:rsid w:val="00025352"/>
    <w:rsid w:val="00031970"/>
    <w:rsid w:val="00043070"/>
    <w:rsid w:val="00046CA0"/>
    <w:rsid w:val="000534DA"/>
    <w:rsid w:val="00060B10"/>
    <w:rsid w:val="00095868"/>
    <w:rsid w:val="000B2A39"/>
    <w:rsid w:val="000C0568"/>
    <w:rsid w:val="000C69D0"/>
    <w:rsid w:val="000C7F77"/>
    <w:rsid w:val="000D11C0"/>
    <w:rsid w:val="000D7CC4"/>
    <w:rsid w:val="000E6984"/>
    <w:rsid w:val="000F0F3A"/>
    <w:rsid w:val="000F1970"/>
    <w:rsid w:val="000F3ADE"/>
    <w:rsid w:val="000F74D4"/>
    <w:rsid w:val="00101AE9"/>
    <w:rsid w:val="00103B03"/>
    <w:rsid w:val="001310E6"/>
    <w:rsid w:val="0013730B"/>
    <w:rsid w:val="00142B3D"/>
    <w:rsid w:val="00144C57"/>
    <w:rsid w:val="00147BD6"/>
    <w:rsid w:val="00164279"/>
    <w:rsid w:val="00165587"/>
    <w:rsid w:val="00167684"/>
    <w:rsid w:val="00167FC9"/>
    <w:rsid w:val="001720E8"/>
    <w:rsid w:val="001769A2"/>
    <w:rsid w:val="0018074B"/>
    <w:rsid w:val="00186356"/>
    <w:rsid w:val="00190002"/>
    <w:rsid w:val="001966D2"/>
    <w:rsid w:val="001A027E"/>
    <w:rsid w:val="001C188C"/>
    <w:rsid w:val="001C7116"/>
    <w:rsid w:val="001C76D8"/>
    <w:rsid w:val="001D589A"/>
    <w:rsid w:val="001E003E"/>
    <w:rsid w:val="001E40EB"/>
    <w:rsid w:val="001F3515"/>
    <w:rsid w:val="0020136B"/>
    <w:rsid w:val="00202BF9"/>
    <w:rsid w:val="00210058"/>
    <w:rsid w:val="00214FB0"/>
    <w:rsid w:val="002214C0"/>
    <w:rsid w:val="002275FE"/>
    <w:rsid w:val="00234F58"/>
    <w:rsid w:val="00240705"/>
    <w:rsid w:val="002428AC"/>
    <w:rsid w:val="0025010B"/>
    <w:rsid w:val="00264A99"/>
    <w:rsid w:val="00274037"/>
    <w:rsid w:val="00284182"/>
    <w:rsid w:val="00287C75"/>
    <w:rsid w:val="00292211"/>
    <w:rsid w:val="002A69BD"/>
    <w:rsid w:val="002B746E"/>
    <w:rsid w:val="002D2AA6"/>
    <w:rsid w:val="002D63D7"/>
    <w:rsid w:val="002E4ABE"/>
    <w:rsid w:val="002E771F"/>
    <w:rsid w:val="002F1102"/>
    <w:rsid w:val="002F1D55"/>
    <w:rsid w:val="00300919"/>
    <w:rsid w:val="00302A4B"/>
    <w:rsid w:val="00310039"/>
    <w:rsid w:val="00327661"/>
    <w:rsid w:val="003356CD"/>
    <w:rsid w:val="0033717A"/>
    <w:rsid w:val="00347B70"/>
    <w:rsid w:val="0035146F"/>
    <w:rsid w:val="00351550"/>
    <w:rsid w:val="00352810"/>
    <w:rsid w:val="00356FBD"/>
    <w:rsid w:val="003733CC"/>
    <w:rsid w:val="00382F07"/>
    <w:rsid w:val="00386A8D"/>
    <w:rsid w:val="00392B79"/>
    <w:rsid w:val="00395D1F"/>
    <w:rsid w:val="003A0CF7"/>
    <w:rsid w:val="003A501D"/>
    <w:rsid w:val="003B3C3D"/>
    <w:rsid w:val="003B5E41"/>
    <w:rsid w:val="003C211C"/>
    <w:rsid w:val="003C2956"/>
    <w:rsid w:val="003F0B81"/>
    <w:rsid w:val="003F34D3"/>
    <w:rsid w:val="003F6A08"/>
    <w:rsid w:val="00402BAA"/>
    <w:rsid w:val="00413A9B"/>
    <w:rsid w:val="00424E53"/>
    <w:rsid w:val="00433A03"/>
    <w:rsid w:val="00434460"/>
    <w:rsid w:val="004467BA"/>
    <w:rsid w:val="00457E0B"/>
    <w:rsid w:val="00464B7D"/>
    <w:rsid w:val="00466AD8"/>
    <w:rsid w:val="00467A3E"/>
    <w:rsid w:val="00472023"/>
    <w:rsid w:val="0049324A"/>
    <w:rsid w:val="00495DDF"/>
    <w:rsid w:val="004A093B"/>
    <w:rsid w:val="004B0E84"/>
    <w:rsid w:val="004C3DFD"/>
    <w:rsid w:val="004C4546"/>
    <w:rsid w:val="004C795D"/>
    <w:rsid w:val="004C7D90"/>
    <w:rsid w:val="004D066F"/>
    <w:rsid w:val="004E034F"/>
    <w:rsid w:val="004E1DB8"/>
    <w:rsid w:val="004E2AC5"/>
    <w:rsid w:val="004F45DD"/>
    <w:rsid w:val="004F76EB"/>
    <w:rsid w:val="00500138"/>
    <w:rsid w:val="00513BEB"/>
    <w:rsid w:val="00516F4C"/>
    <w:rsid w:val="005276C6"/>
    <w:rsid w:val="00530EBE"/>
    <w:rsid w:val="00535090"/>
    <w:rsid w:val="005361F8"/>
    <w:rsid w:val="00545D65"/>
    <w:rsid w:val="00557258"/>
    <w:rsid w:val="00561A3C"/>
    <w:rsid w:val="00572F4E"/>
    <w:rsid w:val="00575912"/>
    <w:rsid w:val="00575EFE"/>
    <w:rsid w:val="00581097"/>
    <w:rsid w:val="00581F7B"/>
    <w:rsid w:val="0058491E"/>
    <w:rsid w:val="005A4124"/>
    <w:rsid w:val="005B4232"/>
    <w:rsid w:val="005B770A"/>
    <w:rsid w:val="005C0077"/>
    <w:rsid w:val="005D7D08"/>
    <w:rsid w:val="005E6789"/>
    <w:rsid w:val="005F43FB"/>
    <w:rsid w:val="00600BDF"/>
    <w:rsid w:val="006033F6"/>
    <w:rsid w:val="0061709F"/>
    <w:rsid w:val="00622867"/>
    <w:rsid w:val="0065232B"/>
    <w:rsid w:val="00665B27"/>
    <w:rsid w:val="00696AD6"/>
    <w:rsid w:val="006B0C09"/>
    <w:rsid w:val="006B1546"/>
    <w:rsid w:val="006C18BD"/>
    <w:rsid w:val="006E019F"/>
    <w:rsid w:val="006E7A20"/>
    <w:rsid w:val="006F70AC"/>
    <w:rsid w:val="00701670"/>
    <w:rsid w:val="00702A90"/>
    <w:rsid w:val="00702BEF"/>
    <w:rsid w:val="007039C8"/>
    <w:rsid w:val="00707023"/>
    <w:rsid w:val="00714275"/>
    <w:rsid w:val="007213D5"/>
    <w:rsid w:val="00732193"/>
    <w:rsid w:val="007347B9"/>
    <w:rsid w:val="00736093"/>
    <w:rsid w:val="0074666C"/>
    <w:rsid w:val="00755981"/>
    <w:rsid w:val="00767E0D"/>
    <w:rsid w:val="00780E66"/>
    <w:rsid w:val="00784DD1"/>
    <w:rsid w:val="00793A29"/>
    <w:rsid w:val="00794F8A"/>
    <w:rsid w:val="007A7545"/>
    <w:rsid w:val="007C6AC6"/>
    <w:rsid w:val="007C7BC9"/>
    <w:rsid w:val="007D241E"/>
    <w:rsid w:val="007D7144"/>
    <w:rsid w:val="007E0E71"/>
    <w:rsid w:val="007E762D"/>
    <w:rsid w:val="007F52FE"/>
    <w:rsid w:val="0080449B"/>
    <w:rsid w:val="0081789B"/>
    <w:rsid w:val="0082254E"/>
    <w:rsid w:val="00843C8B"/>
    <w:rsid w:val="00846A43"/>
    <w:rsid w:val="00863B59"/>
    <w:rsid w:val="00873C69"/>
    <w:rsid w:val="00876C70"/>
    <w:rsid w:val="00887400"/>
    <w:rsid w:val="008E3DBD"/>
    <w:rsid w:val="008E3F3D"/>
    <w:rsid w:val="008F579E"/>
    <w:rsid w:val="009000B0"/>
    <w:rsid w:val="00904CFC"/>
    <w:rsid w:val="0090725B"/>
    <w:rsid w:val="009104B6"/>
    <w:rsid w:val="0091194B"/>
    <w:rsid w:val="0091291C"/>
    <w:rsid w:val="00921DCC"/>
    <w:rsid w:val="00925681"/>
    <w:rsid w:val="0093330B"/>
    <w:rsid w:val="0094455A"/>
    <w:rsid w:val="0094794C"/>
    <w:rsid w:val="0095198A"/>
    <w:rsid w:val="00970B1B"/>
    <w:rsid w:val="00972EEE"/>
    <w:rsid w:val="0097698C"/>
    <w:rsid w:val="009779DF"/>
    <w:rsid w:val="00995B7E"/>
    <w:rsid w:val="00995DED"/>
    <w:rsid w:val="009A14CA"/>
    <w:rsid w:val="009A67C9"/>
    <w:rsid w:val="009D093C"/>
    <w:rsid w:val="009D2384"/>
    <w:rsid w:val="009D6469"/>
    <w:rsid w:val="009E78C7"/>
    <w:rsid w:val="009F1F2D"/>
    <w:rsid w:val="00A01D0E"/>
    <w:rsid w:val="00A03C98"/>
    <w:rsid w:val="00A17948"/>
    <w:rsid w:val="00A233DF"/>
    <w:rsid w:val="00A2786B"/>
    <w:rsid w:val="00A45AE6"/>
    <w:rsid w:val="00A528FF"/>
    <w:rsid w:val="00A5698B"/>
    <w:rsid w:val="00A602A7"/>
    <w:rsid w:val="00A64501"/>
    <w:rsid w:val="00A65652"/>
    <w:rsid w:val="00A91841"/>
    <w:rsid w:val="00A93611"/>
    <w:rsid w:val="00A9640D"/>
    <w:rsid w:val="00AA760B"/>
    <w:rsid w:val="00AB2B04"/>
    <w:rsid w:val="00AD2485"/>
    <w:rsid w:val="00AD3772"/>
    <w:rsid w:val="00B0309B"/>
    <w:rsid w:val="00B06DFD"/>
    <w:rsid w:val="00B12B64"/>
    <w:rsid w:val="00B17681"/>
    <w:rsid w:val="00B401FB"/>
    <w:rsid w:val="00B51943"/>
    <w:rsid w:val="00B57FBB"/>
    <w:rsid w:val="00B7358C"/>
    <w:rsid w:val="00B74F27"/>
    <w:rsid w:val="00B97FDD"/>
    <w:rsid w:val="00BB53F3"/>
    <w:rsid w:val="00BC695D"/>
    <w:rsid w:val="00BD2DC0"/>
    <w:rsid w:val="00BD4F4D"/>
    <w:rsid w:val="00BD6529"/>
    <w:rsid w:val="00BE255E"/>
    <w:rsid w:val="00BE4501"/>
    <w:rsid w:val="00BF07F2"/>
    <w:rsid w:val="00BF08BA"/>
    <w:rsid w:val="00BF2893"/>
    <w:rsid w:val="00BF48A9"/>
    <w:rsid w:val="00BF6948"/>
    <w:rsid w:val="00C02AC4"/>
    <w:rsid w:val="00C163FE"/>
    <w:rsid w:val="00C21AC5"/>
    <w:rsid w:val="00C21D92"/>
    <w:rsid w:val="00C34DAD"/>
    <w:rsid w:val="00C35001"/>
    <w:rsid w:val="00C40257"/>
    <w:rsid w:val="00C43F9D"/>
    <w:rsid w:val="00C47C09"/>
    <w:rsid w:val="00C549C8"/>
    <w:rsid w:val="00C57ECC"/>
    <w:rsid w:val="00C71CA0"/>
    <w:rsid w:val="00C72BE7"/>
    <w:rsid w:val="00C81668"/>
    <w:rsid w:val="00C9103A"/>
    <w:rsid w:val="00C91071"/>
    <w:rsid w:val="00CA2FBC"/>
    <w:rsid w:val="00CC0FF5"/>
    <w:rsid w:val="00CC4F03"/>
    <w:rsid w:val="00CC6ABF"/>
    <w:rsid w:val="00CD28A9"/>
    <w:rsid w:val="00CD4E21"/>
    <w:rsid w:val="00CD7245"/>
    <w:rsid w:val="00CE0A60"/>
    <w:rsid w:val="00CE46A1"/>
    <w:rsid w:val="00CF0C5C"/>
    <w:rsid w:val="00CF61D7"/>
    <w:rsid w:val="00CF683F"/>
    <w:rsid w:val="00D1005E"/>
    <w:rsid w:val="00D177CC"/>
    <w:rsid w:val="00D243A8"/>
    <w:rsid w:val="00D26328"/>
    <w:rsid w:val="00D3604A"/>
    <w:rsid w:val="00D46CF0"/>
    <w:rsid w:val="00D654AF"/>
    <w:rsid w:val="00D77287"/>
    <w:rsid w:val="00D85EC9"/>
    <w:rsid w:val="00D86429"/>
    <w:rsid w:val="00D92039"/>
    <w:rsid w:val="00D964F6"/>
    <w:rsid w:val="00DA0180"/>
    <w:rsid w:val="00DA292C"/>
    <w:rsid w:val="00DB3FD6"/>
    <w:rsid w:val="00DC244F"/>
    <w:rsid w:val="00DD6945"/>
    <w:rsid w:val="00DE766A"/>
    <w:rsid w:val="00E016DA"/>
    <w:rsid w:val="00E139DB"/>
    <w:rsid w:val="00E20BE3"/>
    <w:rsid w:val="00E435AE"/>
    <w:rsid w:val="00E4370F"/>
    <w:rsid w:val="00E43AFC"/>
    <w:rsid w:val="00E50A19"/>
    <w:rsid w:val="00E64302"/>
    <w:rsid w:val="00E85D45"/>
    <w:rsid w:val="00EA1466"/>
    <w:rsid w:val="00EA5916"/>
    <w:rsid w:val="00EA78F0"/>
    <w:rsid w:val="00EB0366"/>
    <w:rsid w:val="00EB5647"/>
    <w:rsid w:val="00EC663E"/>
    <w:rsid w:val="00ED6C78"/>
    <w:rsid w:val="00EE44F2"/>
    <w:rsid w:val="00EE65B0"/>
    <w:rsid w:val="00EE7BF2"/>
    <w:rsid w:val="00EF11A0"/>
    <w:rsid w:val="00EF32ED"/>
    <w:rsid w:val="00EF5BA2"/>
    <w:rsid w:val="00F00D7E"/>
    <w:rsid w:val="00F02397"/>
    <w:rsid w:val="00F2100B"/>
    <w:rsid w:val="00F25E61"/>
    <w:rsid w:val="00F27A67"/>
    <w:rsid w:val="00F30650"/>
    <w:rsid w:val="00F32139"/>
    <w:rsid w:val="00F345D3"/>
    <w:rsid w:val="00F360FE"/>
    <w:rsid w:val="00F37671"/>
    <w:rsid w:val="00F431B9"/>
    <w:rsid w:val="00F44D5E"/>
    <w:rsid w:val="00F45DAA"/>
    <w:rsid w:val="00F45F2B"/>
    <w:rsid w:val="00F46D15"/>
    <w:rsid w:val="00F6430B"/>
    <w:rsid w:val="00F66749"/>
    <w:rsid w:val="00F74A57"/>
    <w:rsid w:val="00F75E4D"/>
    <w:rsid w:val="00F82BB5"/>
    <w:rsid w:val="00F8576E"/>
    <w:rsid w:val="00F93574"/>
    <w:rsid w:val="00F94FE6"/>
    <w:rsid w:val="00F95A41"/>
    <w:rsid w:val="00FA196E"/>
    <w:rsid w:val="00FA5CC1"/>
    <w:rsid w:val="00FB157F"/>
    <w:rsid w:val="00FC5155"/>
    <w:rsid w:val="00FD5735"/>
    <w:rsid w:val="00FE1379"/>
    <w:rsid w:val="00FE24C4"/>
    <w:rsid w:val="01021E59"/>
    <w:rsid w:val="011756E7"/>
    <w:rsid w:val="0117719B"/>
    <w:rsid w:val="01247DF8"/>
    <w:rsid w:val="012A4B1E"/>
    <w:rsid w:val="012D66CB"/>
    <w:rsid w:val="01516D31"/>
    <w:rsid w:val="01521C8D"/>
    <w:rsid w:val="01527C8C"/>
    <w:rsid w:val="01543C57"/>
    <w:rsid w:val="015D36C0"/>
    <w:rsid w:val="015F297D"/>
    <w:rsid w:val="016D4D19"/>
    <w:rsid w:val="01852063"/>
    <w:rsid w:val="0192652E"/>
    <w:rsid w:val="01BD7405"/>
    <w:rsid w:val="01C57766"/>
    <w:rsid w:val="01D30349"/>
    <w:rsid w:val="01D86637"/>
    <w:rsid w:val="01E70628"/>
    <w:rsid w:val="01EA7579"/>
    <w:rsid w:val="01F12C69"/>
    <w:rsid w:val="01F9035B"/>
    <w:rsid w:val="020C62E0"/>
    <w:rsid w:val="0213141D"/>
    <w:rsid w:val="02183236"/>
    <w:rsid w:val="0223508A"/>
    <w:rsid w:val="0224187C"/>
    <w:rsid w:val="022C2E9B"/>
    <w:rsid w:val="022C3206"/>
    <w:rsid w:val="022E6257"/>
    <w:rsid w:val="022F3412"/>
    <w:rsid w:val="02355837"/>
    <w:rsid w:val="023F2212"/>
    <w:rsid w:val="024261A6"/>
    <w:rsid w:val="02505829"/>
    <w:rsid w:val="0256110A"/>
    <w:rsid w:val="025D690F"/>
    <w:rsid w:val="026272AD"/>
    <w:rsid w:val="027345B1"/>
    <w:rsid w:val="027846B9"/>
    <w:rsid w:val="02937581"/>
    <w:rsid w:val="02A84456"/>
    <w:rsid w:val="02AC49C1"/>
    <w:rsid w:val="02B87A6E"/>
    <w:rsid w:val="02C436AC"/>
    <w:rsid w:val="02CB4098"/>
    <w:rsid w:val="02CE5389"/>
    <w:rsid w:val="02E35293"/>
    <w:rsid w:val="02E4048D"/>
    <w:rsid w:val="02ED6112"/>
    <w:rsid w:val="02EE3B43"/>
    <w:rsid w:val="030376E3"/>
    <w:rsid w:val="030926DB"/>
    <w:rsid w:val="030A3279"/>
    <w:rsid w:val="030C57E9"/>
    <w:rsid w:val="031F3DF1"/>
    <w:rsid w:val="03237D85"/>
    <w:rsid w:val="03253523"/>
    <w:rsid w:val="0331691B"/>
    <w:rsid w:val="034C2738"/>
    <w:rsid w:val="034D4C97"/>
    <w:rsid w:val="034F46D6"/>
    <w:rsid w:val="0350044F"/>
    <w:rsid w:val="035148F2"/>
    <w:rsid w:val="03701ADE"/>
    <w:rsid w:val="037203C5"/>
    <w:rsid w:val="03887BE8"/>
    <w:rsid w:val="03907DE8"/>
    <w:rsid w:val="039151BB"/>
    <w:rsid w:val="039A621C"/>
    <w:rsid w:val="03B92498"/>
    <w:rsid w:val="03C230FA"/>
    <w:rsid w:val="03C55ED4"/>
    <w:rsid w:val="03C926DB"/>
    <w:rsid w:val="03FF264E"/>
    <w:rsid w:val="04090B5E"/>
    <w:rsid w:val="040C25C7"/>
    <w:rsid w:val="040F104D"/>
    <w:rsid w:val="041C3329"/>
    <w:rsid w:val="04243786"/>
    <w:rsid w:val="042D6B08"/>
    <w:rsid w:val="04367644"/>
    <w:rsid w:val="043B20C3"/>
    <w:rsid w:val="044116F6"/>
    <w:rsid w:val="04635E25"/>
    <w:rsid w:val="04643E13"/>
    <w:rsid w:val="04697A1A"/>
    <w:rsid w:val="046C48D8"/>
    <w:rsid w:val="048E56D2"/>
    <w:rsid w:val="04A95AF7"/>
    <w:rsid w:val="04C32313"/>
    <w:rsid w:val="04C9495C"/>
    <w:rsid w:val="04CE479F"/>
    <w:rsid w:val="04DC4690"/>
    <w:rsid w:val="04EB158C"/>
    <w:rsid w:val="04F82B4C"/>
    <w:rsid w:val="050A25F3"/>
    <w:rsid w:val="051123A4"/>
    <w:rsid w:val="0512093A"/>
    <w:rsid w:val="0514287A"/>
    <w:rsid w:val="05177476"/>
    <w:rsid w:val="0520379B"/>
    <w:rsid w:val="05280DDE"/>
    <w:rsid w:val="05296C60"/>
    <w:rsid w:val="052A7CFA"/>
    <w:rsid w:val="05310411"/>
    <w:rsid w:val="05366EA3"/>
    <w:rsid w:val="053718C6"/>
    <w:rsid w:val="054A61EE"/>
    <w:rsid w:val="055A54B2"/>
    <w:rsid w:val="056621AB"/>
    <w:rsid w:val="05785527"/>
    <w:rsid w:val="057F32CF"/>
    <w:rsid w:val="05834B0B"/>
    <w:rsid w:val="0588243D"/>
    <w:rsid w:val="05944D76"/>
    <w:rsid w:val="05953B46"/>
    <w:rsid w:val="05A54516"/>
    <w:rsid w:val="05B24665"/>
    <w:rsid w:val="05BE1FE7"/>
    <w:rsid w:val="05C07B0D"/>
    <w:rsid w:val="05C3270E"/>
    <w:rsid w:val="05C3315A"/>
    <w:rsid w:val="05C369CD"/>
    <w:rsid w:val="05EF21A1"/>
    <w:rsid w:val="05F257ED"/>
    <w:rsid w:val="06021ED4"/>
    <w:rsid w:val="060914B4"/>
    <w:rsid w:val="06135E8F"/>
    <w:rsid w:val="061B4D44"/>
    <w:rsid w:val="061E4834"/>
    <w:rsid w:val="06285025"/>
    <w:rsid w:val="062A15C1"/>
    <w:rsid w:val="063125AB"/>
    <w:rsid w:val="06400C4E"/>
    <w:rsid w:val="065107F9"/>
    <w:rsid w:val="066B1D62"/>
    <w:rsid w:val="06763196"/>
    <w:rsid w:val="068648B3"/>
    <w:rsid w:val="069F7723"/>
    <w:rsid w:val="06B56F46"/>
    <w:rsid w:val="06CD3E2A"/>
    <w:rsid w:val="06D32584"/>
    <w:rsid w:val="06E45A7E"/>
    <w:rsid w:val="06EB6E0C"/>
    <w:rsid w:val="06FA2D30"/>
    <w:rsid w:val="06FB62C0"/>
    <w:rsid w:val="07177C01"/>
    <w:rsid w:val="071C6FC5"/>
    <w:rsid w:val="07222102"/>
    <w:rsid w:val="072506DC"/>
    <w:rsid w:val="072C6C75"/>
    <w:rsid w:val="072D11D3"/>
    <w:rsid w:val="075C1AB8"/>
    <w:rsid w:val="076467EA"/>
    <w:rsid w:val="07674F8D"/>
    <w:rsid w:val="076E4BA2"/>
    <w:rsid w:val="07762B7A"/>
    <w:rsid w:val="07823A0B"/>
    <w:rsid w:val="07990616"/>
    <w:rsid w:val="079B0769"/>
    <w:rsid w:val="079C1EB4"/>
    <w:rsid w:val="079C2329"/>
    <w:rsid w:val="07B013E8"/>
    <w:rsid w:val="07B40FAC"/>
    <w:rsid w:val="07BD094A"/>
    <w:rsid w:val="07C733D5"/>
    <w:rsid w:val="07DE071F"/>
    <w:rsid w:val="07E83C6F"/>
    <w:rsid w:val="07ED0962"/>
    <w:rsid w:val="07EF3E17"/>
    <w:rsid w:val="07F46D17"/>
    <w:rsid w:val="07F612BE"/>
    <w:rsid w:val="080737D2"/>
    <w:rsid w:val="0825549A"/>
    <w:rsid w:val="082C738A"/>
    <w:rsid w:val="08320C02"/>
    <w:rsid w:val="08397703"/>
    <w:rsid w:val="08430582"/>
    <w:rsid w:val="08513C0E"/>
    <w:rsid w:val="0869623A"/>
    <w:rsid w:val="086A4515"/>
    <w:rsid w:val="087D7893"/>
    <w:rsid w:val="087F5A58"/>
    <w:rsid w:val="088521A6"/>
    <w:rsid w:val="0889068B"/>
    <w:rsid w:val="08901A19"/>
    <w:rsid w:val="089B6CCD"/>
    <w:rsid w:val="08A45C90"/>
    <w:rsid w:val="08A70B11"/>
    <w:rsid w:val="08BA344D"/>
    <w:rsid w:val="08D139F0"/>
    <w:rsid w:val="08D835CC"/>
    <w:rsid w:val="08E92EA7"/>
    <w:rsid w:val="08EC08A0"/>
    <w:rsid w:val="08FD1976"/>
    <w:rsid w:val="09027028"/>
    <w:rsid w:val="090B0E2F"/>
    <w:rsid w:val="09100E8B"/>
    <w:rsid w:val="09183F04"/>
    <w:rsid w:val="092A7C8A"/>
    <w:rsid w:val="09300B06"/>
    <w:rsid w:val="093C56FD"/>
    <w:rsid w:val="09461CD6"/>
    <w:rsid w:val="09521455"/>
    <w:rsid w:val="09554A11"/>
    <w:rsid w:val="0955726C"/>
    <w:rsid w:val="095C5D9F"/>
    <w:rsid w:val="09772BD9"/>
    <w:rsid w:val="09780A1B"/>
    <w:rsid w:val="097B7776"/>
    <w:rsid w:val="097E09D7"/>
    <w:rsid w:val="097F49DD"/>
    <w:rsid w:val="098A290C"/>
    <w:rsid w:val="099A2423"/>
    <w:rsid w:val="09D309DF"/>
    <w:rsid w:val="09DD2A69"/>
    <w:rsid w:val="09EF6C13"/>
    <w:rsid w:val="09F119AB"/>
    <w:rsid w:val="0A083831"/>
    <w:rsid w:val="0A0A4A1E"/>
    <w:rsid w:val="0A1E3055"/>
    <w:rsid w:val="0A283ED3"/>
    <w:rsid w:val="0A366EA1"/>
    <w:rsid w:val="0A460F97"/>
    <w:rsid w:val="0A5F3317"/>
    <w:rsid w:val="0A6773C9"/>
    <w:rsid w:val="0A704AD0"/>
    <w:rsid w:val="0A79011B"/>
    <w:rsid w:val="0A7B69FE"/>
    <w:rsid w:val="0A8525B1"/>
    <w:rsid w:val="0A872E9B"/>
    <w:rsid w:val="0A882225"/>
    <w:rsid w:val="0A8E1F88"/>
    <w:rsid w:val="0A9B6453"/>
    <w:rsid w:val="0AA23C86"/>
    <w:rsid w:val="0AA95014"/>
    <w:rsid w:val="0AAC0660"/>
    <w:rsid w:val="0ABA2D7D"/>
    <w:rsid w:val="0AC736EC"/>
    <w:rsid w:val="0AD16319"/>
    <w:rsid w:val="0AF02C43"/>
    <w:rsid w:val="0AF0679F"/>
    <w:rsid w:val="0AF9186D"/>
    <w:rsid w:val="0AFA5B66"/>
    <w:rsid w:val="0AFF4C34"/>
    <w:rsid w:val="0B09160F"/>
    <w:rsid w:val="0B091C8C"/>
    <w:rsid w:val="0B1A1A6E"/>
    <w:rsid w:val="0B2F6F8F"/>
    <w:rsid w:val="0B325009"/>
    <w:rsid w:val="0B3A6179"/>
    <w:rsid w:val="0B464611"/>
    <w:rsid w:val="0B4765DB"/>
    <w:rsid w:val="0B491765"/>
    <w:rsid w:val="0B4D1C03"/>
    <w:rsid w:val="0B753F4C"/>
    <w:rsid w:val="0B7D1FFD"/>
    <w:rsid w:val="0B870B9C"/>
    <w:rsid w:val="0B8D5506"/>
    <w:rsid w:val="0B934812"/>
    <w:rsid w:val="0BA155D2"/>
    <w:rsid w:val="0BA34311"/>
    <w:rsid w:val="0BB377CC"/>
    <w:rsid w:val="0BDC6D23"/>
    <w:rsid w:val="0BFC361E"/>
    <w:rsid w:val="0C0F70F9"/>
    <w:rsid w:val="0C112E71"/>
    <w:rsid w:val="0C14470F"/>
    <w:rsid w:val="0C2A5DF9"/>
    <w:rsid w:val="0C3A6343"/>
    <w:rsid w:val="0C6D3E1F"/>
    <w:rsid w:val="0C77407F"/>
    <w:rsid w:val="0C9B273A"/>
    <w:rsid w:val="0C9B71EA"/>
    <w:rsid w:val="0C9D4809"/>
    <w:rsid w:val="0C9E1915"/>
    <w:rsid w:val="0CA13776"/>
    <w:rsid w:val="0CAA0BCF"/>
    <w:rsid w:val="0CAA7322"/>
    <w:rsid w:val="0CAE6749"/>
    <w:rsid w:val="0CB35CD6"/>
    <w:rsid w:val="0CB90E13"/>
    <w:rsid w:val="0CBD758B"/>
    <w:rsid w:val="0CBE28CD"/>
    <w:rsid w:val="0CC55A09"/>
    <w:rsid w:val="0CD04D8F"/>
    <w:rsid w:val="0CE53CF6"/>
    <w:rsid w:val="0CF3149A"/>
    <w:rsid w:val="0CF32576"/>
    <w:rsid w:val="0D0B7A8F"/>
    <w:rsid w:val="0D295F98"/>
    <w:rsid w:val="0D2E7C4F"/>
    <w:rsid w:val="0D30098E"/>
    <w:rsid w:val="0D32564B"/>
    <w:rsid w:val="0D325847"/>
    <w:rsid w:val="0D336E17"/>
    <w:rsid w:val="0D340D45"/>
    <w:rsid w:val="0D353FB7"/>
    <w:rsid w:val="0D51348D"/>
    <w:rsid w:val="0D556D8D"/>
    <w:rsid w:val="0D5A0848"/>
    <w:rsid w:val="0D98311E"/>
    <w:rsid w:val="0D9D6B54"/>
    <w:rsid w:val="0DAA4917"/>
    <w:rsid w:val="0DB04C6E"/>
    <w:rsid w:val="0DCB4A28"/>
    <w:rsid w:val="0DD3572C"/>
    <w:rsid w:val="0DD73C46"/>
    <w:rsid w:val="0DE325EB"/>
    <w:rsid w:val="0DE67374"/>
    <w:rsid w:val="0DF33AC1"/>
    <w:rsid w:val="0E060763"/>
    <w:rsid w:val="0E0D1416"/>
    <w:rsid w:val="0E2B1C5D"/>
    <w:rsid w:val="0E4A6719"/>
    <w:rsid w:val="0E5C2437"/>
    <w:rsid w:val="0E6D1D7A"/>
    <w:rsid w:val="0E6F7A49"/>
    <w:rsid w:val="0E84505F"/>
    <w:rsid w:val="0E883192"/>
    <w:rsid w:val="0E9A2DFC"/>
    <w:rsid w:val="0EA3358B"/>
    <w:rsid w:val="0EAB756C"/>
    <w:rsid w:val="0EBF5172"/>
    <w:rsid w:val="0EC20314"/>
    <w:rsid w:val="0EC54DF5"/>
    <w:rsid w:val="0ECC307F"/>
    <w:rsid w:val="0EDD73F8"/>
    <w:rsid w:val="0EE303C9"/>
    <w:rsid w:val="0EE9651C"/>
    <w:rsid w:val="0EEC49C3"/>
    <w:rsid w:val="0EFC3072"/>
    <w:rsid w:val="0EFD74F3"/>
    <w:rsid w:val="0F25358B"/>
    <w:rsid w:val="0F2A5FF8"/>
    <w:rsid w:val="0F3A0931"/>
    <w:rsid w:val="0F3D1107"/>
    <w:rsid w:val="0F4D3059"/>
    <w:rsid w:val="0F55715B"/>
    <w:rsid w:val="0F5F28E3"/>
    <w:rsid w:val="0F625791"/>
    <w:rsid w:val="0F783207"/>
    <w:rsid w:val="0F7F6343"/>
    <w:rsid w:val="0F8D63BA"/>
    <w:rsid w:val="0F9455C2"/>
    <w:rsid w:val="0FA43FFC"/>
    <w:rsid w:val="0FAE35ED"/>
    <w:rsid w:val="0FCD5301"/>
    <w:rsid w:val="0FD07183"/>
    <w:rsid w:val="0FE22D08"/>
    <w:rsid w:val="10001F6E"/>
    <w:rsid w:val="10044A9B"/>
    <w:rsid w:val="10152D2D"/>
    <w:rsid w:val="1021564D"/>
    <w:rsid w:val="10401B68"/>
    <w:rsid w:val="105378EF"/>
    <w:rsid w:val="10612BD8"/>
    <w:rsid w:val="108F545B"/>
    <w:rsid w:val="10974402"/>
    <w:rsid w:val="10A342B4"/>
    <w:rsid w:val="10AA1E71"/>
    <w:rsid w:val="10B938A1"/>
    <w:rsid w:val="10CD30DE"/>
    <w:rsid w:val="11052878"/>
    <w:rsid w:val="11056D4E"/>
    <w:rsid w:val="110F6BF8"/>
    <w:rsid w:val="112278CE"/>
    <w:rsid w:val="112518E3"/>
    <w:rsid w:val="112E0021"/>
    <w:rsid w:val="11317FB6"/>
    <w:rsid w:val="11335637"/>
    <w:rsid w:val="113A017B"/>
    <w:rsid w:val="113B22CD"/>
    <w:rsid w:val="113D7CB3"/>
    <w:rsid w:val="11482866"/>
    <w:rsid w:val="114B42D9"/>
    <w:rsid w:val="115A0E16"/>
    <w:rsid w:val="11722693"/>
    <w:rsid w:val="117D35E2"/>
    <w:rsid w:val="117D3A12"/>
    <w:rsid w:val="117F5D8D"/>
    <w:rsid w:val="11845795"/>
    <w:rsid w:val="119209F9"/>
    <w:rsid w:val="11A526D9"/>
    <w:rsid w:val="11AC53EA"/>
    <w:rsid w:val="11B26C6E"/>
    <w:rsid w:val="11BD3153"/>
    <w:rsid w:val="11C52008"/>
    <w:rsid w:val="11C80677"/>
    <w:rsid w:val="11CB1D14"/>
    <w:rsid w:val="11D504D2"/>
    <w:rsid w:val="121357BC"/>
    <w:rsid w:val="121F796A"/>
    <w:rsid w:val="122C48A4"/>
    <w:rsid w:val="12346A30"/>
    <w:rsid w:val="12426516"/>
    <w:rsid w:val="124C38B9"/>
    <w:rsid w:val="12567B47"/>
    <w:rsid w:val="12735704"/>
    <w:rsid w:val="12971F5B"/>
    <w:rsid w:val="12994736"/>
    <w:rsid w:val="129B54F0"/>
    <w:rsid w:val="12AD31C8"/>
    <w:rsid w:val="12B72298"/>
    <w:rsid w:val="12BA7692"/>
    <w:rsid w:val="12CF1390"/>
    <w:rsid w:val="12D43EC1"/>
    <w:rsid w:val="12D6271E"/>
    <w:rsid w:val="12D871B4"/>
    <w:rsid w:val="12F63374"/>
    <w:rsid w:val="12F820FE"/>
    <w:rsid w:val="12FE1C75"/>
    <w:rsid w:val="13143247"/>
    <w:rsid w:val="131B6E0E"/>
    <w:rsid w:val="131E40C5"/>
    <w:rsid w:val="132437C9"/>
    <w:rsid w:val="133F0B2A"/>
    <w:rsid w:val="136441CE"/>
    <w:rsid w:val="13701911"/>
    <w:rsid w:val="13723405"/>
    <w:rsid w:val="13734411"/>
    <w:rsid w:val="137477F1"/>
    <w:rsid w:val="137912FC"/>
    <w:rsid w:val="137A57A0"/>
    <w:rsid w:val="137B545C"/>
    <w:rsid w:val="139204B1"/>
    <w:rsid w:val="139B3968"/>
    <w:rsid w:val="139D3C46"/>
    <w:rsid w:val="13A91BE1"/>
    <w:rsid w:val="13B011C1"/>
    <w:rsid w:val="13C1635D"/>
    <w:rsid w:val="13C22CA3"/>
    <w:rsid w:val="13CB58B6"/>
    <w:rsid w:val="13D33102"/>
    <w:rsid w:val="13D9346A"/>
    <w:rsid w:val="13DE7A85"/>
    <w:rsid w:val="13E17B66"/>
    <w:rsid w:val="13E92070"/>
    <w:rsid w:val="13F72496"/>
    <w:rsid w:val="13F76DF0"/>
    <w:rsid w:val="13F86B10"/>
    <w:rsid w:val="13FD3CDB"/>
    <w:rsid w:val="14005579"/>
    <w:rsid w:val="14025795"/>
    <w:rsid w:val="14045448"/>
    <w:rsid w:val="140C1889"/>
    <w:rsid w:val="14120B2D"/>
    <w:rsid w:val="141352AC"/>
    <w:rsid w:val="141E1139"/>
    <w:rsid w:val="143D057B"/>
    <w:rsid w:val="143E7521"/>
    <w:rsid w:val="143F2E71"/>
    <w:rsid w:val="144354F9"/>
    <w:rsid w:val="14475498"/>
    <w:rsid w:val="144B2C98"/>
    <w:rsid w:val="14636234"/>
    <w:rsid w:val="14697BE6"/>
    <w:rsid w:val="146E386F"/>
    <w:rsid w:val="147723D4"/>
    <w:rsid w:val="147E1DCA"/>
    <w:rsid w:val="148B522A"/>
    <w:rsid w:val="148D59AB"/>
    <w:rsid w:val="149603DC"/>
    <w:rsid w:val="14A14FAE"/>
    <w:rsid w:val="14A35840"/>
    <w:rsid w:val="14A578DF"/>
    <w:rsid w:val="14A800EA"/>
    <w:rsid w:val="14AA5E1D"/>
    <w:rsid w:val="14DA6099"/>
    <w:rsid w:val="14E05AD6"/>
    <w:rsid w:val="14F271DF"/>
    <w:rsid w:val="14F81A49"/>
    <w:rsid w:val="14FB1D3F"/>
    <w:rsid w:val="14FB2DCA"/>
    <w:rsid w:val="150978C9"/>
    <w:rsid w:val="150D619F"/>
    <w:rsid w:val="15161E4E"/>
    <w:rsid w:val="151F1E28"/>
    <w:rsid w:val="15232E3B"/>
    <w:rsid w:val="1524655E"/>
    <w:rsid w:val="15287C4D"/>
    <w:rsid w:val="15325C06"/>
    <w:rsid w:val="154B357E"/>
    <w:rsid w:val="154C274D"/>
    <w:rsid w:val="155A1BBA"/>
    <w:rsid w:val="157629DC"/>
    <w:rsid w:val="15826B8D"/>
    <w:rsid w:val="15950993"/>
    <w:rsid w:val="159863B1"/>
    <w:rsid w:val="15995C85"/>
    <w:rsid w:val="159C0F6D"/>
    <w:rsid w:val="159C3623"/>
    <w:rsid w:val="15B0024A"/>
    <w:rsid w:val="15B8091F"/>
    <w:rsid w:val="15C727F2"/>
    <w:rsid w:val="15C9656A"/>
    <w:rsid w:val="15DA064A"/>
    <w:rsid w:val="15E4539C"/>
    <w:rsid w:val="16091A1E"/>
    <w:rsid w:val="160B6F48"/>
    <w:rsid w:val="160E17A5"/>
    <w:rsid w:val="161377E5"/>
    <w:rsid w:val="162C6035"/>
    <w:rsid w:val="162C68E9"/>
    <w:rsid w:val="163B0AEA"/>
    <w:rsid w:val="164B3423"/>
    <w:rsid w:val="164D719B"/>
    <w:rsid w:val="165733D1"/>
    <w:rsid w:val="16576893"/>
    <w:rsid w:val="166560CF"/>
    <w:rsid w:val="1667130E"/>
    <w:rsid w:val="166718DF"/>
    <w:rsid w:val="166938A9"/>
    <w:rsid w:val="16745DE6"/>
    <w:rsid w:val="168340D6"/>
    <w:rsid w:val="16941272"/>
    <w:rsid w:val="1694473B"/>
    <w:rsid w:val="16A6065A"/>
    <w:rsid w:val="16A80F0A"/>
    <w:rsid w:val="16A8318F"/>
    <w:rsid w:val="16B624C1"/>
    <w:rsid w:val="16B72867"/>
    <w:rsid w:val="16B94831"/>
    <w:rsid w:val="16CC738A"/>
    <w:rsid w:val="16FD0075"/>
    <w:rsid w:val="17053DCF"/>
    <w:rsid w:val="170A1290"/>
    <w:rsid w:val="170E3004"/>
    <w:rsid w:val="17122889"/>
    <w:rsid w:val="17125CEF"/>
    <w:rsid w:val="171E2A58"/>
    <w:rsid w:val="173415D1"/>
    <w:rsid w:val="17367C2F"/>
    <w:rsid w:val="173914CE"/>
    <w:rsid w:val="17514A69"/>
    <w:rsid w:val="17531D90"/>
    <w:rsid w:val="17545B20"/>
    <w:rsid w:val="175F6473"/>
    <w:rsid w:val="17624FAF"/>
    <w:rsid w:val="176A78D9"/>
    <w:rsid w:val="1787048B"/>
    <w:rsid w:val="17937832"/>
    <w:rsid w:val="17946704"/>
    <w:rsid w:val="179738D1"/>
    <w:rsid w:val="179F5F07"/>
    <w:rsid w:val="17A60604"/>
    <w:rsid w:val="17BC3F9E"/>
    <w:rsid w:val="17CD2FEC"/>
    <w:rsid w:val="17D70197"/>
    <w:rsid w:val="17D97833"/>
    <w:rsid w:val="17E21B65"/>
    <w:rsid w:val="17F92A0B"/>
    <w:rsid w:val="17FF78F6"/>
    <w:rsid w:val="1803197A"/>
    <w:rsid w:val="180C273E"/>
    <w:rsid w:val="18133ACD"/>
    <w:rsid w:val="181B2472"/>
    <w:rsid w:val="182D715E"/>
    <w:rsid w:val="1832487B"/>
    <w:rsid w:val="183D0B4A"/>
    <w:rsid w:val="184810EA"/>
    <w:rsid w:val="186345B6"/>
    <w:rsid w:val="187D0A35"/>
    <w:rsid w:val="187E2D33"/>
    <w:rsid w:val="188A049E"/>
    <w:rsid w:val="18921AEE"/>
    <w:rsid w:val="18A21833"/>
    <w:rsid w:val="18A977A2"/>
    <w:rsid w:val="18AC5CCF"/>
    <w:rsid w:val="18AE7E04"/>
    <w:rsid w:val="18B0756E"/>
    <w:rsid w:val="18B14413"/>
    <w:rsid w:val="18BB38C2"/>
    <w:rsid w:val="18BC1549"/>
    <w:rsid w:val="18CB43A7"/>
    <w:rsid w:val="18CE20EA"/>
    <w:rsid w:val="18D43EF9"/>
    <w:rsid w:val="18DF2CBE"/>
    <w:rsid w:val="18E748B5"/>
    <w:rsid w:val="19014D5D"/>
    <w:rsid w:val="19070402"/>
    <w:rsid w:val="19355BD6"/>
    <w:rsid w:val="193C3656"/>
    <w:rsid w:val="1947061F"/>
    <w:rsid w:val="194D1260"/>
    <w:rsid w:val="194D158F"/>
    <w:rsid w:val="1955078C"/>
    <w:rsid w:val="196A4BE9"/>
    <w:rsid w:val="1977008B"/>
    <w:rsid w:val="197E141A"/>
    <w:rsid w:val="19805BAE"/>
    <w:rsid w:val="198C0AC2"/>
    <w:rsid w:val="198C0D09"/>
    <w:rsid w:val="19947D9E"/>
    <w:rsid w:val="199649B5"/>
    <w:rsid w:val="19970E4C"/>
    <w:rsid w:val="19A97067"/>
    <w:rsid w:val="19B75C90"/>
    <w:rsid w:val="19B82FDE"/>
    <w:rsid w:val="19BF5A88"/>
    <w:rsid w:val="19D43591"/>
    <w:rsid w:val="19EE760C"/>
    <w:rsid w:val="1A0A6AB1"/>
    <w:rsid w:val="1A1B4EBB"/>
    <w:rsid w:val="1A2C42B3"/>
    <w:rsid w:val="1A2E1828"/>
    <w:rsid w:val="1A372E20"/>
    <w:rsid w:val="1A394CFA"/>
    <w:rsid w:val="1A3F504D"/>
    <w:rsid w:val="1A570027"/>
    <w:rsid w:val="1A72414B"/>
    <w:rsid w:val="1A7E523E"/>
    <w:rsid w:val="1A815666"/>
    <w:rsid w:val="1A8213DE"/>
    <w:rsid w:val="1A8217DE"/>
    <w:rsid w:val="1A830EA6"/>
    <w:rsid w:val="1A8B2E61"/>
    <w:rsid w:val="1A9058A9"/>
    <w:rsid w:val="1AA11864"/>
    <w:rsid w:val="1AA17AB6"/>
    <w:rsid w:val="1AB70C2E"/>
    <w:rsid w:val="1AB772D9"/>
    <w:rsid w:val="1ABF31AA"/>
    <w:rsid w:val="1AC15A62"/>
    <w:rsid w:val="1AD559B1"/>
    <w:rsid w:val="1ADC289C"/>
    <w:rsid w:val="1AEC6D5C"/>
    <w:rsid w:val="1B083691"/>
    <w:rsid w:val="1B086E06"/>
    <w:rsid w:val="1B0C26F4"/>
    <w:rsid w:val="1B2E5485"/>
    <w:rsid w:val="1B373F76"/>
    <w:rsid w:val="1B446E20"/>
    <w:rsid w:val="1B495D39"/>
    <w:rsid w:val="1B544B28"/>
    <w:rsid w:val="1B5A7C65"/>
    <w:rsid w:val="1B6474E1"/>
    <w:rsid w:val="1B66485B"/>
    <w:rsid w:val="1B6708DC"/>
    <w:rsid w:val="1B6F35FB"/>
    <w:rsid w:val="1B94128E"/>
    <w:rsid w:val="1BB27AA1"/>
    <w:rsid w:val="1BB630ED"/>
    <w:rsid w:val="1BBF7C5E"/>
    <w:rsid w:val="1BDB3BA4"/>
    <w:rsid w:val="1BEC16A3"/>
    <w:rsid w:val="1BF057B3"/>
    <w:rsid w:val="1BF35CEB"/>
    <w:rsid w:val="1C042150"/>
    <w:rsid w:val="1C16002F"/>
    <w:rsid w:val="1C212950"/>
    <w:rsid w:val="1C2A3ADB"/>
    <w:rsid w:val="1C312A90"/>
    <w:rsid w:val="1C3D380E"/>
    <w:rsid w:val="1C3E5690"/>
    <w:rsid w:val="1C482575"/>
    <w:rsid w:val="1C625023"/>
    <w:rsid w:val="1C693B39"/>
    <w:rsid w:val="1C6C577B"/>
    <w:rsid w:val="1C7E0A3B"/>
    <w:rsid w:val="1C844F99"/>
    <w:rsid w:val="1CA10762"/>
    <w:rsid w:val="1CA375F1"/>
    <w:rsid w:val="1CE7089B"/>
    <w:rsid w:val="1CED1F3C"/>
    <w:rsid w:val="1CF2284B"/>
    <w:rsid w:val="1CFC0FD3"/>
    <w:rsid w:val="1CFC7225"/>
    <w:rsid w:val="1D3E7EDB"/>
    <w:rsid w:val="1D3F2B5F"/>
    <w:rsid w:val="1D4B5AB7"/>
    <w:rsid w:val="1D575FE9"/>
    <w:rsid w:val="1D84721B"/>
    <w:rsid w:val="1D847ACD"/>
    <w:rsid w:val="1D871E34"/>
    <w:rsid w:val="1D884F5D"/>
    <w:rsid w:val="1D8C721C"/>
    <w:rsid w:val="1D941987"/>
    <w:rsid w:val="1D9751A0"/>
    <w:rsid w:val="1DA82F09"/>
    <w:rsid w:val="1DC95982"/>
    <w:rsid w:val="1DD91315"/>
    <w:rsid w:val="1DE12819"/>
    <w:rsid w:val="1DE9717E"/>
    <w:rsid w:val="1DFA7435"/>
    <w:rsid w:val="1E094145"/>
    <w:rsid w:val="1E185BE6"/>
    <w:rsid w:val="1E217ADA"/>
    <w:rsid w:val="1E2C3B3A"/>
    <w:rsid w:val="1E384623"/>
    <w:rsid w:val="1E3E1A6B"/>
    <w:rsid w:val="1E4A0464"/>
    <w:rsid w:val="1E513796"/>
    <w:rsid w:val="1E551030"/>
    <w:rsid w:val="1E5A22DA"/>
    <w:rsid w:val="1E62130A"/>
    <w:rsid w:val="1E751D37"/>
    <w:rsid w:val="1E7B78CE"/>
    <w:rsid w:val="1E7D50F5"/>
    <w:rsid w:val="1E860CC4"/>
    <w:rsid w:val="1E894AFB"/>
    <w:rsid w:val="1E944099"/>
    <w:rsid w:val="1EAD6AC7"/>
    <w:rsid w:val="1EAE7F57"/>
    <w:rsid w:val="1EBB25E9"/>
    <w:rsid w:val="1EC652E8"/>
    <w:rsid w:val="1ECE2E43"/>
    <w:rsid w:val="1EE0393B"/>
    <w:rsid w:val="1EEA3302"/>
    <w:rsid w:val="1EF758B6"/>
    <w:rsid w:val="1F086ED8"/>
    <w:rsid w:val="1F2C614A"/>
    <w:rsid w:val="1F2D3133"/>
    <w:rsid w:val="1F444EB4"/>
    <w:rsid w:val="1F4B7FF0"/>
    <w:rsid w:val="1F72557D"/>
    <w:rsid w:val="1F7600F9"/>
    <w:rsid w:val="1F843502"/>
    <w:rsid w:val="1F8B3D41"/>
    <w:rsid w:val="1FA3579A"/>
    <w:rsid w:val="1FA57DDF"/>
    <w:rsid w:val="1FB57B5F"/>
    <w:rsid w:val="1FBC7140"/>
    <w:rsid w:val="1FC15CA9"/>
    <w:rsid w:val="1FCD5D2C"/>
    <w:rsid w:val="1FCD6FEB"/>
    <w:rsid w:val="1FDC2058"/>
    <w:rsid w:val="1FE10954"/>
    <w:rsid w:val="1FE4496A"/>
    <w:rsid w:val="1FEF6BCD"/>
    <w:rsid w:val="1FF22238"/>
    <w:rsid w:val="1FF91AA8"/>
    <w:rsid w:val="1FFC2A34"/>
    <w:rsid w:val="201725C8"/>
    <w:rsid w:val="201C07B1"/>
    <w:rsid w:val="20280331"/>
    <w:rsid w:val="20567E01"/>
    <w:rsid w:val="2069136F"/>
    <w:rsid w:val="20702B9F"/>
    <w:rsid w:val="20711CD8"/>
    <w:rsid w:val="2071669E"/>
    <w:rsid w:val="20764618"/>
    <w:rsid w:val="20832045"/>
    <w:rsid w:val="2084431B"/>
    <w:rsid w:val="208C6B12"/>
    <w:rsid w:val="20937EA1"/>
    <w:rsid w:val="20987265"/>
    <w:rsid w:val="20996FA4"/>
    <w:rsid w:val="20A25486"/>
    <w:rsid w:val="20A45DD5"/>
    <w:rsid w:val="20AD1B5E"/>
    <w:rsid w:val="20B9542D"/>
    <w:rsid w:val="20BB11A5"/>
    <w:rsid w:val="20C100EA"/>
    <w:rsid w:val="20D61B3B"/>
    <w:rsid w:val="20DD736E"/>
    <w:rsid w:val="21011B4B"/>
    <w:rsid w:val="21076199"/>
    <w:rsid w:val="210A4734"/>
    <w:rsid w:val="21132BE0"/>
    <w:rsid w:val="211D59BC"/>
    <w:rsid w:val="21267B6D"/>
    <w:rsid w:val="2128547F"/>
    <w:rsid w:val="21380323"/>
    <w:rsid w:val="213905AF"/>
    <w:rsid w:val="21456F41"/>
    <w:rsid w:val="21491AF3"/>
    <w:rsid w:val="215846DC"/>
    <w:rsid w:val="215A6C10"/>
    <w:rsid w:val="21676C37"/>
    <w:rsid w:val="216B4D30"/>
    <w:rsid w:val="218B517E"/>
    <w:rsid w:val="21985B8F"/>
    <w:rsid w:val="219D777D"/>
    <w:rsid w:val="21B75E11"/>
    <w:rsid w:val="21C07E10"/>
    <w:rsid w:val="21C66F9D"/>
    <w:rsid w:val="21CB18BC"/>
    <w:rsid w:val="21D56B05"/>
    <w:rsid w:val="21DD4628"/>
    <w:rsid w:val="21DE339D"/>
    <w:rsid w:val="21E40288"/>
    <w:rsid w:val="21FD68CA"/>
    <w:rsid w:val="21FE5C20"/>
    <w:rsid w:val="22016034"/>
    <w:rsid w:val="220426D8"/>
    <w:rsid w:val="220F17A9"/>
    <w:rsid w:val="221C14B5"/>
    <w:rsid w:val="221F0D41"/>
    <w:rsid w:val="222A65E3"/>
    <w:rsid w:val="22300410"/>
    <w:rsid w:val="22325DE0"/>
    <w:rsid w:val="2245154D"/>
    <w:rsid w:val="224A6DCD"/>
    <w:rsid w:val="225A114A"/>
    <w:rsid w:val="22666294"/>
    <w:rsid w:val="226D4721"/>
    <w:rsid w:val="227550BE"/>
    <w:rsid w:val="227A70F1"/>
    <w:rsid w:val="227D7C32"/>
    <w:rsid w:val="22873A35"/>
    <w:rsid w:val="228B77D0"/>
    <w:rsid w:val="22956215"/>
    <w:rsid w:val="229B303C"/>
    <w:rsid w:val="22A24511"/>
    <w:rsid w:val="22A55C69"/>
    <w:rsid w:val="22A75E1C"/>
    <w:rsid w:val="22A97AD6"/>
    <w:rsid w:val="22B970C5"/>
    <w:rsid w:val="22BA4990"/>
    <w:rsid w:val="22BA77C3"/>
    <w:rsid w:val="22C87B17"/>
    <w:rsid w:val="22CB3576"/>
    <w:rsid w:val="22CF35EC"/>
    <w:rsid w:val="22D30A28"/>
    <w:rsid w:val="22E20C6B"/>
    <w:rsid w:val="22E449E3"/>
    <w:rsid w:val="22E744D4"/>
    <w:rsid w:val="22F8048F"/>
    <w:rsid w:val="23081180"/>
    <w:rsid w:val="230D70FE"/>
    <w:rsid w:val="230E1B9C"/>
    <w:rsid w:val="231B5F2B"/>
    <w:rsid w:val="231F1321"/>
    <w:rsid w:val="232050A1"/>
    <w:rsid w:val="23287AAC"/>
    <w:rsid w:val="23320939"/>
    <w:rsid w:val="233557D0"/>
    <w:rsid w:val="2338088B"/>
    <w:rsid w:val="23386ADD"/>
    <w:rsid w:val="2342795C"/>
    <w:rsid w:val="23484E2E"/>
    <w:rsid w:val="234E6301"/>
    <w:rsid w:val="236534B0"/>
    <w:rsid w:val="238A05E2"/>
    <w:rsid w:val="23944881"/>
    <w:rsid w:val="239A1546"/>
    <w:rsid w:val="239E5F03"/>
    <w:rsid w:val="23AA4AF7"/>
    <w:rsid w:val="23AB3341"/>
    <w:rsid w:val="23C93BD9"/>
    <w:rsid w:val="23D04F68"/>
    <w:rsid w:val="23D330F8"/>
    <w:rsid w:val="23F27D7B"/>
    <w:rsid w:val="23F650D1"/>
    <w:rsid w:val="240B29E5"/>
    <w:rsid w:val="2416712E"/>
    <w:rsid w:val="241C1F5B"/>
    <w:rsid w:val="241C63FF"/>
    <w:rsid w:val="242104A0"/>
    <w:rsid w:val="242A28CA"/>
    <w:rsid w:val="244A0CA5"/>
    <w:rsid w:val="244A2F6C"/>
    <w:rsid w:val="244D519F"/>
    <w:rsid w:val="24516190"/>
    <w:rsid w:val="24810259"/>
    <w:rsid w:val="2483373B"/>
    <w:rsid w:val="248B7965"/>
    <w:rsid w:val="248C2BD4"/>
    <w:rsid w:val="24A467F5"/>
    <w:rsid w:val="24A9572A"/>
    <w:rsid w:val="24C46536"/>
    <w:rsid w:val="24E22466"/>
    <w:rsid w:val="24EA4490"/>
    <w:rsid w:val="24F37160"/>
    <w:rsid w:val="251E0C4C"/>
    <w:rsid w:val="25242E73"/>
    <w:rsid w:val="253A210A"/>
    <w:rsid w:val="253B28B5"/>
    <w:rsid w:val="253F308E"/>
    <w:rsid w:val="25585215"/>
    <w:rsid w:val="255969F2"/>
    <w:rsid w:val="255D7DA1"/>
    <w:rsid w:val="2560231B"/>
    <w:rsid w:val="25624188"/>
    <w:rsid w:val="25683786"/>
    <w:rsid w:val="256F719E"/>
    <w:rsid w:val="257000DA"/>
    <w:rsid w:val="25714529"/>
    <w:rsid w:val="2577294F"/>
    <w:rsid w:val="25853B30"/>
    <w:rsid w:val="2588301D"/>
    <w:rsid w:val="259721E1"/>
    <w:rsid w:val="25B04B74"/>
    <w:rsid w:val="25B82157"/>
    <w:rsid w:val="25BE76BC"/>
    <w:rsid w:val="25C428AA"/>
    <w:rsid w:val="25CF69C8"/>
    <w:rsid w:val="25D86356"/>
    <w:rsid w:val="25DF5FA3"/>
    <w:rsid w:val="25FF38E2"/>
    <w:rsid w:val="26040EF9"/>
    <w:rsid w:val="26045291"/>
    <w:rsid w:val="26061115"/>
    <w:rsid w:val="26183C9C"/>
    <w:rsid w:val="26192BF6"/>
    <w:rsid w:val="26291DE7"/>
    <w:rsid w:val="263B7010"/>
    <w:rsid w:val="264377CF"/>
    <w:rsid w:val="264D28A0"/>
    <w:rsid w:val="26503910"/>
    <w:rsid w:val="26571970"/>
    <w:rsid w:val="265754CC"/>
    <w:rsid w:val="266F1FBA"/>
    <w:rsid w:val="266F2AE6"/>
    <w:rsid w:val="267539FA"/>
    <w:rsid w:val="26844FFA"/>
    <w:rsid w:val="26865719"/>
    <w:rsid w:val="2689653A"/>
    <w:rsid w:val="26A5422F"/>
    <w:rsid w:val="26C62D55"/>
    <w:rsid w:val="26C80178"/>
    <w:rsid w:val="26C94DFB"/>
    <w:rsid w:val="26F15921"/>
    <w:rsid w:val="270911D3"/>
    <w:rsid w:val="271D560E"/>
    <w:rsid w:val="272C1456"/>
    <w:rsid w:val="27473BD5"/>
    <w:rsid w:val="27532318"/>
    <w:rsid w:val="27541A0C"/>
    <w:rsid w:val="275D221F"/>
    <w:rsid w:val="275E75A5"/>
    <w:rsid w:val="276031D7"/>
    <w:rsid w:val="27673E35"/>
    <w:rsid w:val="27685B63"/>
    <w:rsid w:val="27703533"/>
    <w:rsid w:val="27734588"/>
    <w:rsid w:val="27754B90"/>
    <w:rsid w:val="2786250D"/>
    <w:rsid w:val="278E244E"/>
    <w:rsid w:val="27985C5A"/>
    <w:rsid w:val="27A74232"/>
    <w:rsid w:val="27B20448"/>
    <w:rsid w:val="27BB7CDD"/>
    <w:rsid w:val="27BD50C9"/>
    <w:rsid w:val="27E70989"/>
    <w:rsid w:val="27F51441"/>
    <w:rsid w:val="27F76F67"/>
    <w:rsid w:val="27F8683B"/>
    <w:rsid w:val="27FC2148"/>
    <w:rsid w:val="27FD412F"/>
    <w:rsid w:val="280B15C9"/>
    <w:rsid w:val="28107C62"/>
    <w:rsid w:val="283D3DC4"/>
    <w:rsid w:val="283E0604"/>
    <w:rsid w:val="28490AE5"/>
    <w:rsid w:val="287334D7"/>
    <w:rsid w:val="28754330"/>
    <w:rsid w:val="2882146F"/>
    <w:rsid w:val="28913BEA"/>
    <w:rsid w:val="28926E7D"/>
    <w:rsid w:val="28AC0A36"/>
    <w:rsid w:val="28E53263"/>
    <w:rsid w:val="28ED036A"/>
    <w:rsid w:val="28FB2A87"/>
    <w:rsid w:val="28FC235B"/>
    <w:rsid w:val="290F0EB4"/>
    <w:rsid w:val="29183639"/>
    <w:rsid w:val="292B2014"/>
    <w:rsid w:val="293D4E4D"/>
    <w:rsid w:val="294A1318"/>
    <w:rsid w:val="29500971"/>
    <w:rsid w:val="2952510D"/>
    <w:rsid w:val="2955410B"/>
    <w:rsid w:val="298E56A9"/>
    <w:rsid w:val="298F4974"/>
    <w:rsid w:val="29A0362E"/>
    <w:rsid w:val="29A0718A"/>
    <w:rsid w:val="29A70519"/>
    <w:rsid w:val="29A8516A"/>
    <w:rsid w:val="29B76F33"/>
    <w:rsid w:val="29BD1A8D"/>
    <w:rsid w:val="29CC4423"/>
    <w:rsid w:val="29D07680"/>
    <w:rsid w:val="29D07A70"/>
    <w:rsid w:val="29E12900"/>
    <w:rsid w:val="29E308C1"/>
    <w:rsid w:val="29E67293"/>
    <w:rsid w:val="29EA6B86"/>
    <w:rsid w:val="2A032A23"/>
    <w:rsid w:val="2A1F27A5"/>
    <w:rsid w:val="2A263B34"/>
    <w:rsid w:val="2A2B739C"/>
    <w:rsid w:val="2A331DAD"/>
    <w:rsid w:val="2A3470D1"/>
    <w:rsid w:val="2A4D44F7"/>
    <w:rsid w:val="2A5364DC"/>
    <w:rsid w:val="2A5F2BA2"/>
    <w:rsid w:val="2A6160D4"/>
    <w:rsid w:val="2A6D3CE7"/>
    <w:rsid w:val="2A8231DB"/>
    <w:rsid w:val="2A8645D2"/>
    <w:rsid w:val="2A9B642A"/>
    <w:rsid w:val="2AAD1B5F"/>
    <w:rsid w:val="2AB350C5"/>
    <w:rsid w:val="2AC60E73"/>
    <w:rsid w:val="2AC82E3D"/>
    <w:rsid w:val="2AD31C98"/>
    <w:rsid w:val="2ADB7D7A"/>
    <w:rsid w:val="2ADF3B9E"/>
    <w:rsid w:val="2AEC6883"/>
    <w:rsid w:val="2AF602F3"/>
    <w:rsid w:val="2B0844C4"/>
    <w:rsid w:val="2B10017B"/>
    <w:rsid w:val="2B141BDE"/>
    <w:rsid w:val="2B147E30"/>
    <w:rsid w:val="2B165956"/>
    <w:rsid w:val="2B1E480B"/>
    <w:rsid w:val="2B1F1409"/>
    <w:rsid w:val="2B237311"/>
    <w:rsid w:val="2B2A31A0"/>
    <w:rsid w:val="2B2C517A"/>
    <w:rsid w:val="2B336ED3"/>
    <w:rsid w:val="2B3D5A27"/>
    <w:rsid w:val="2B3F274C"/>
    <w:rsid w:val="2B4577DB"/>
    <w:rsid w:val="2B4C581C"/>
    <w:rsid w:val="2B5D17D7"/>
    <w:rsid w:val="2B696F85"/>
    <w:rsid w:val="2B7859D4"/>
    <w:rsid w:val="2B795EE5"/>
    <w:rsid w:val="2B8672CD"/>
    <w:rsid w:val="2B8C595A"/>
    <w:rsid w:val="2B944ACD"/>
    <w:rsid w:val="2BA54D2A"/>
    <w:rsid w:val="2BB52658"/>
    <w:rsid w:val="2BB92785"/>
    <w:rsid w:val="2BBB02AC"/>
    <w:rsid w:val="2BE33F6C"/>
    <w:rsid w:val="2BE351C7"/>
    <w:rsid w:val="2BE73C53"/>
    <w:rsid w:val="2C047EA4"/>
    <w:rsid w:val="2C084565"/>
    <w:rsid w:val="2C0B2222"/>
    <w:rsid w:val="2C1C33A5"/>
    <w:rsid w:val="2C1F3435"/>
    <w:rsid w:val="2C295F0F"/>
    <w:rsid w:val="2C310BC3"/>
    <w:rsid w:val="2C4643B2"/>
    <w:rsid w:val="2C5551A4"/>
    <w:rsid w:val="2C57495C"/>
    <w:rsid w:val="2C6D5A4A"/>
    <w:rsid w:val="2C7F4C87"/>
    <w:rsid w:val="2C8B4122"/>
    <w:rsid w:val="2C956603"/>
    <w:rsid w:val="2CAB47C4"/>
    <w:rsid w:val="2CBA4A07"/>
    <w:rsid w:val="2CBF201D"/>
    <w:rsid w:val="2CBF79FD"/>
    <w:rsid w:val="2CC338BC"/>
    <w:rsid w:val="2CDF481B"/>
    <w:rsid w:val="2CDF70CF"/>
    <w:rsid w:val="2CE20317"/>
    <w:rsid w:val="2CE77EF5"/>
    <w:rsid w:val="2CF47F19"/>
    <w:rsid w:val="2CF55A3F"/>
    <w:rsid w:val="2CF950D6"/>
    <w:rsid w:val="2D0363AE"/>
    <w:rsid w:val="2D0D454A"/>
    <w:rsid w:val="2D1138FA"/>
    <w:rsid w:val="2D197980"/>
    <w:rsid w:val="2D1C07A2"/>
    <w:rsid w:val="2D2C0D74"/>
    <w:rsid w:val="2D2F7952"/>
    <w:rsid w:val="2D370D43"/>
    <w:rsid w:val="2D381735"/>
    <w:rsid w:val="2D3C71CA"/>
    <w:rsid w:val="2D4B38B1"/>
    <w:rsid w:val="2D6D1319"/>
    <w:rsid w:val="2D7D68E5"/>
    <w:rsid w:val="2D985AB4"/>
    <w:rsid w:val="2DA03ACA"/>
    <w:rsid w:val="2DA57465"/>
    <w:rsid w:val="2DAA375A"/>
    <w:rsid w:val="2DB03F32"/>
    <w:rsid w:val="2DB72175"/>
    <w:rsid w:val="2DB87A1C"/>
    <w:rsid w:val="2DB94CBF"/>
    <w:rsid w:val="2DBC7F26"/>
    <w:rsid w:val="2DBD655D"/>
    <w:rsid w:val="2DCA2453"/>
    <w:rsid w:val="2DD62F6C"/>
    <w:rsid w:val="2DF12E63"/>
    <w:rsid w:val="2DF12E9C"/>
    <w:rsid w:val="2DF162EB"/>
    <w:rsid w:val="2DF6413D"/>
    <w:rsid w:val="2DF80A33"/>
    <w:rsid w:val="2DFE26A1"/>
    <w:rsid w:val="2DFE468E"/>
    <w:rsid w:val="2E020414"/>
    <w:rsid w:val="2E142D75"/>
    <w:rsid w:val="2E177A62"/>
    <w:rsid w:val="2E1848FC"/>
    <w:rsid w:val="2E293BF2"/>
    <w:rsid w:val="2E302B83"/>
    <w:rsid w:val="2E47045D"/>
    <w:rsid w:val="2E4A2626"/>
    <w:rsid w:val="2E5B1C2E"/>
    <w:rsid w:val="2E60104E"/>
    <w:rsid w:val="2E6111A5"/>
    <w:rsid w:val="2E722098"/>
    <w:rsid w:val="2E81758A"/>
    <w:rsid w:val="2E87001F"/>
    <w:rsid w:val="2E8C4181"/>
    <w:rsid w:val="2E9D1E84"/>
    <w:rsid w:val="2ECC4926"/>
    <w:rsid w:val="2EE462F1"/>
    <w:rsid w:val="2EE6563F"/>
    <w:rsid w:val="2EF35FAE"/>
    <w:rsid w:val="2EF91921"/>
    <w:rsid w:val="2EFC3CAA"/>
    <w:rsid w:val="2EFE0BDB"/>
    <w:rsid w:val="2F106B60"/>
    <w:rsid w:val="2F206446"/>
    <w:rsid w:val="2F421882"/>
    <w:rsid w:val="2F445343"/>
    <w:rsid w:val="2F492BAF"/>
    <w:rsid w:val="2F55697B"/>
    <w:rsid w:val="2F5A01EA"/>
    <w:rsid w:val="2F61116A"/>
    <w:rsid w:val="2F6B545A"/>
    <w:rsid w:val="2F6D3359"/>
    <w:rsid w:val="2F8135BA"/>
    <w:rsid w:val="2F9F53D6"/>
    <w:rsid w:val="2FB27C17"/>
    <w:rsid w:val="2FB92D54"/>
    <w:rsid w:val="2FC55B9D"/>
    <w:rsid w:val="2FC811E9"/>
    <w:rsid w:val="2FCF07C9"/>
    <w:rsid w:val="2FD933F6"/>
    <w:rsid w:val="2FE36023"/>
    <w:rsid w:val="2FF86498"/>
    <w:rsid w:val="2FF9271D"/>
    <w:rsid w:val="2FFB336C"/>
    <w:rsid w:val="30073ABF"/>
    <w:rsid w:val="3025488D"/>
    <w:rsid w:val="303E5F52"/>
    <w:rsid w:val="30672485"/>
    <w:rsid w:val="3069608C"/>
    <w:rsid w:val="306B0757"/>
    <w:rsid w:val="308C5D5A"/>
    <w:rsid w:val="30A27C8C"/>
    <w:rsid w:val="30A457B2"/>
    <w:rsid w:val="30A6445A"/>
    <w:rsid w:val="30AA08EF"/>
    <w:rsid w:val="30AE6631"/>
    <w:rsid w:val="30B05F05"/>
    <w:rsid w:val="30C00ECC"/>
    <w:rsid w:val="30C62424"/>
    <w:rsid w:val="30CB0F91"/>
    <w:rsid w:val="30CB2D3F"/>
    <w:rsid w:val="30DE1BA3"/>
    <w:rsid w:val="30F06D06"/>
    <w:rsid w:val="30F20773"/>
    <w:rsid w:val="30F50D45"/>
    <w:rsid w:val="30F641E4"/>
    <w:rsid w:val="30FD3EF5"/>
    <w:rsid w:val="31010E56"/>
    <w:rsid w:val="3102072B"/>
    <w:rsid w:val="310B5831"/>
    <w:rsid w:val="3118734C"/>
    <w:rsid w:val="3140533A"/>
    <w:rsid w:val="31533344"/>
    <w:rsid w:val="31560277"/>
    <w:rsid w:val="3156751D"/>
    <w:rsid w:val="31594CBD"/>
    <w:rsid w:val="315C42DF"/>
    <w:rsid w:val="31603DCF"/>
    <w:rsid w:val="316311C9"/>
    <w:rsid w:val="3163741B"/>
    <w:rsid w:val="3165029E"/>
    <w:rsid w:val="31681D2F"/>
    <w:rsid w:val="31692558"/>
    <w:rsid w:val="3175714F"/>
    <w:rsid w:val="318952EE"/>
    <w:rsid w:val="318B24CE"/>
    <w:rsid w:val="31AA6DF8"/>
    <w:rsid w:val="31BA22FF"/>
    <w:rsid w:val="31BB7257"/>
    <w:rsid w:val="31C869A7"/>
    <w:rsid w:val="31CF079E"/>
    <w:rsid w:val="31D200A0"/>
    <w:rsid w:val="31DC0F7C"/>
    <w:rsid w:val="32016DBC"/>
    <w:rsid w:val="320649ED"/>
    <w:rsid w:val="3213059E"/>
    <w:rsid w:val="32321DDA"/>
    <w:rsid w:val="32391589"/>
    <w:rsid w:val="323C0572"/>
    <w:rsid w:val="323C5A5D"/>
    <w:rsid w:val="32486254"/>
    <w:rsid w:val="324F5756"/>
    <w:rsid w:val="3254650A"/>
    <w:rsid w:val="326A117D"/>
    <w:rsid w:val="32747406"/>
    <w:rsid w:val="327F0285"/>
    <w:rsid w:val="3281511E"/>
    <w:rsid w:val="3281624F"/>
    <w:rsid w:val="32885138"/>
    <w:rsid w:val="328F5FEE"/>
    <w:rsid w:val="32990D51"/>
    <w:rsid w:val="329B4993"/>
    <w:rsid w:val="32A45FDC"/>
    <w:rsid w:val="32A9531C"/>
    <w:rsid w:val="32AD5CB7"/>
    <w:rsid w:val="32B417E8"/>
    <w:rsid w:val="32C22265"/>
    <w:rsid w:val="32D15800"/>
    <w:rsid w:val="32DB74D3"/>
    <w:rsid w:val="32DD7580"/>
    <w:rsid w:val="32F00174"/>
    <w:rsid w:val="32FB3683"/>
    <w:rsid w:val="33001962"/>
    <w:rsid w:val="33022C64"/>
    <w:rsid w:val="33180A41"/>
    <w:rsid w:val="331C2384"/>
    <w:rsid w:val="33244988"/>
    <w:rsid w:val="333022C1"/>
    <w:rsid w:val="333746BC"/>
    <w:rsid w:val="33377E29"/>
    <w:rsid w:val="333A55DB"/>
    <w:rsid w:val="333E37A9"/>
    <w:rsid w:val="33437504"/>
    <w:rsid w:val="33460DA3"/>
    <w:rsid w:val="335C6818"/>
    <w:rsid w:val="33707BCD"/>
    <w:rsid w:val="337771AE"/>
    <w:rsid w:val="338C505F"/>
    <w:rsid w:val="3390201E"/>
    <w:rsid w:val="33925D96"/>
    <w:rsid w:val="339715FE"/>
    <w:rsid w:val="339C21EF"/>
    <w:rsid w:val="33A1247D"/>
    <w:rsid w:val="33A74395"/>
    <w:rsid w:val="33A94FEB"/>
    <w:rsid w:val="33C323F3"/>
    <w:rsid w:val="33CB529E"/>
    <w:rsid w:val="33E12879"/>
    <w:rsid w:val="33FD03FF"/>
    <w:rsid w:val="33FE342B"/>
    <w:rsid w:val="34164C19"/>
    <w:rsid w:val="3417219C"/>
    <w:rsid w:val="342B1D46"/>
    <w:rsid w:val="342F4E2C"/>
    <w:rsid w:val="342F656E"/>
    <w:rsid w:val="343B09EF"/>
    <w:rsid w:val="345D18AC"/>
    <w:rsid w:val="34675474"/>
    <w:rsid w:val="346E1433"/>
    <w:rsid w:val="34737EE5"/>
    <w:rsid w:val="34761214"/>
    <w:rsid w:val="349B6ECC"/>
    <w:rsid w:val="34AC732B"/>
    <w:rsid w:val="34B80E50"/>
    <w:rsid w:val="34C32558"/>
    <w:rsid w:val="34C603ED"/>
    <w:rsid w:val="34D85707"/>
    <w:rsid w:val="34EA0618"/>
    <w:rsid w:val="35043866"/>
    <w:rsid w:val="35064C8D"/>
    <w:rsid w:val="35091305"/>
    <w:rsid w:val="352E7146"/>
    <w:rsid w:val="35433EF8"/>
    <w:rsid w:val="354E3242"/>
    <w:rsid w:val="354E3654"/>
    <w:rsid w:val="355257E8"/>
    <w:rsid w:val="355517CF"/>
    <w:rsid w:val="35610116"/>
    <w:rsid w:val="356A1C52"/>
    <w:rsid w:val="356E358F"/>
    <w:rsid w:val="35774559"/>
    <w:rsid w:val="357C0AAC"/>
    <w:rsid w:val="357D12FE"/>
    <w:rsid w:val="35812566"/>
    <w:rsid w:val="358931C8"/>
    <w:rsid w:val="358E6A31"/>
    <w:rsid w:val="359070B4"/>
    <w:rsid w:val="35CC2451"/>
    <w:rsid w:val="35CD57AB"/>
    <w:rsid w:val="36102A79"/>
    <w:rsid w:val="36126D79"/>
    <w:rsid w:val="362F5B1E"/>
    <w:rsid w:val="36426286"/>
    <w:rsid w:val="36486BE0"/>
    <w:rsid w:val="36494334"/>
    <w:rsid w:val="364A0BAA"/>
    <w:rsid w:val="366B3579"/>
    <w:rsid w:val="367125DA"/>
    <w:rsid w:val="367A740F"/>
    <w:rsid w:val="367B4E79"/>
    <w:rsid w:val="367E325A"/>
    <w:rsid w:val="36897485"/>
    <w:rsid w:val="3690323D"/>
    <w:rsid w:val="36904DEC"/>
    <w:rsid w:val="369462C9"/>
    <w:rsid w:val="36A302BA"/>
    <w:rsid w:val="36AA5AEC"/>
    <w:rsid w:val="36AE36D7"/>
    <w:rsid w:val="36AF0414"/>
    <w:rsid w:val="36B45DB4"/>
    <w:rsid w:val="36C44AC6"/>
    <w:rsid w:val="36E54FD9"/>
    <w:rsid w:val="36EB3750"/>
    <w:rsid w:val="36F12EB4"/>
    <w:rsid w:val="36F472C7"/>
    <w:rsid w:val="36F7183E"/>
    <w:rsid w:val="37145079"/>
    <w:rsid w:val="3715740A"/>
    <w:rsid w:val="371603BD"/>
    <w:rsid w:val="371C0798"/>
    <w:rsid w:val="371F2036"/>
    <w:rsid w:val="37305FF2"/>
    <w:rsid w:val="373072BB"/>
    <w:rsid w:val="3757357E"/>
    <w:rsid w:val="37647A40"/>
    <w:rsid w:val="376C682A"/>
    <w:rsid w:val="37740273"/>
    <w:rsid w:val="377917AC"/>
    <w:rsid w:val="378354D0"/>
    <w:rsid w:val="378620B5"/>
    <w:rsid w:val="378A405E"/>
    <w:rsid w:val="37931B4D"/>
    <w:rsid w:val="3793313F"/>
    <w:rsid w:val="379D2F5B"/>
    <w:rsid w:val="37B666A2"/>
    <w:rsid w:val="37B8040B"/>
    <w:rsid w:val="37D07C17"/>
    <w:rsid w:val="37D44A2E"/>
    <w:rsid w:val="37DB14DA"/>
    <w:rsid w:val="37DC7264"/>
    <w:rsid w:val="37DF5322"/>
    <w:rsid w:val="37E27BD4"/>
    <w:rsid w:val="37E32842"/>
    <w:rsid w:val="37E81A93"/>
    <w:rsid w:val="37EC5820"/>
    <w:rsid w:val="37F14A2B"/>
    <w:rsid w:val="37F708BD"/>
    <w:rsid w:val="37F7264B"/>
    <w:rsid w:val="37FB1AC7"/>
    <w:rsid w:val="37FD48ED"/>
    <w:rsid w:val="380077A0"/>
    <w:rsid w:val="381006A8"/>
    <w:rsid w:val="3814321B"/>
    <w:rsid w:val="381A403E"/>
    <w:rsid w:val="381B26A8"/>
    <w:rsid w:val="384440F5"/>
    <w:rsid w:val="38471845"/>
    <w:rsid w:val="384F64F6"/>
    <w:rsid w:val="385E093C"/>
    <w:rsid w:val="386341A5"/>
    <w:rsid w:val="386F2B4A"/>
    <w:rsid w:val="387D5266"/>
    <w:rsid w:val="388E7474"/>
    <w:rsid w:val="389524E8"/>
    <w:rsid w:val="38AA5930"/>
    <w:rsid w:val="38B12CB0"/>
    <w:rsid w:val="38B4106D"/>
    <w:rsid w:val="38D013C8"/>
    <w:rsid w:val="38D17360"/>
    <w:rsid w:val="38D71131"/>
    <w:rsid w:val="38ED4B13"/>
    <w:rsid w:val="38FA125D"/>
    <w:rsid w:val="393022D9"/>
    <w:rsid w:val="393A1311"/>
    <w:rsid w:val="39416530"/>
    <w:rsid w:val="39567866"/>
    <w:rsid w:val="395C1320"/>
    <w:rsid w:val="395E4617"/>
    <w:rsid w:val="396039FE"/>
    <w:rsid w:val="396B4DB7"/>
    <w:rsid w:val="397D4DF2"/>
    <w:rsid w:val="3993696C"/>
    <w:rsid w:val="399860D0"/>
    <w:rsid w:val="399D3EBE"/>
    <w:rsid w:val="39A8206F"/>
    <w:rsid w:val="39A83612"/>
    <w:rsid w:val="39AB7112"/>
    <w:rsid w:val="39C02B76"/>
    <w:rsid w:val="39E44E71"/>
    <w:rsid w:val="39E5309E"/>
    <w:rsid w:val="39F31088"/>
    <w:rsid w:val="39FC040D"/>
    <w:rsid w:val="3A1525B8"/>
    <w:rsid w:val="3A156427"/>
    <w:rsid w:val="3A165BB9"/>
    <w:rsid w:val="3A2D5BC5"/>
    <w:rsid w:val="3A637E32"/>
    <w:rsid w:val="3A6A35F5"/>
    <w:rsid w:val="3A7461F5"/>
    <w:rsid w:val="3A82110C"/>
    <w:rsid w:val="3A844AFD"/>
    <w:rsid w:val="3A8A709C"/>
    <w:rsid w:val="3A8B3BCC"/>
    <w:rsid w:val="3A8F3143"/>
    <w:rsid w:val="3A9248CD"/>
    <w:rsid w:val="3A944AE9"/>
    <w:rsid w:val="3A9B19D4"/>
    <w:rsid w:val="3AAE1BAE"/>
    <w:rsid w:val="3AB111F7"/>
    <w:rsid w:val="3AB605BC"/>
    <w:rsid w:val="3AB833F9"/>
    <w:rsid w:val="3ACB3D1E"/>
    <w:rsid w:val="3ACD1DA9"/>
    <w:rsid w:val="3AE80991"/>
    <w:rsid w:val="3B062934"/>
    <w:rsid w:val="3B087194"/>
    <w:rsid w:val="3B0A3B62"/>
    <w:rsid w:val="3B0C15F9"/>
    <w:rsid w:val="3B0D12CE"/>
    <w:rsid w:val="3B2A61EB"/>
    <w:rsid w:val="3B304812"/>
    <w:rsid w:val="3B331C0C"/>
    <w:rsid w:val="3B375F3D"/>
    <w:rsid w:val="3B3C65B6"/>
    <w:rsid w:val="3B4246A6"/>
    <w:rsid w:val="3B4413D5"/>
    <w:rsid w:val="3B6825A1"/>
    <w:rsid w:val="3B6C511E"/>
    <w:rsid w:val="3B702E61"/>
    <w:rsid w:val="3B715FBA"/>
    <w:rsid w:val="3B787F67"/>
    <w:rsid w:val="3B7F4E52"/>
    <w:rsid w:val="3B893F22"/>
    <w:rsid w:val="3B91269B"/>
    <w:rsid w:val="3B9B79B4"/>
    <w:rsid w:val="3BA448B8"/>
    <w:rsid w:val="3BAB7650"/>
    <w:rsid w:val="3BD01B51"/>
    <w:rsid w:val="3BD319CC"/>
    <w:rsid w:val="3BE86E9B"/>
    <w:rsid w:val="3C004876"/>
    <w:rsid w:val="3C0161AE"/>
    <w:rsid w:val="3C0A47E2"/>
    <w:rsid w:val="3C125CC6"/>
    <w:rsid w:val="3C145EE2"/>
    <w:rsid w:val="3C17152E"/>
    <w:rsid w:val="3C1E0B0E"/>
    <w:rsid w:val="3C1E28BD"/>
    <w:rsid w:val="3C2D6464"/>
    <w:rsid w:val="3C2F6AB3"/>
    <w:rsid w:val="3C4936B2"/>
    <w:rsid w:val="3C62685D"/>
    <w:rsid w:val="3C747F52"/>
    <w:rsid w:val="3C782D33"/>
    <w:rsid w:val="3C7A740B"/>
    <w:rsid w:val="3C8B42AF"/>
    <w:rsid w:val="3CA01523"/>
    <w:rsid w:val="3CA1529C"/>
    <w:rsid w:val="3CA44787"/>
    <w:rsid w:val="3CA54D8C"/>
    <w:rsid w:val="3CAD1E92"/>
    <w:rsid w:val="3CB10787"/>
    <w:rsid w:val="3CBE7BFC"/>
    <w:rsid w:val="3CC82828"/>
    <w:rsid w:val="3CC9611F"/>
    <w:rsid w:val="3CCE6FF7"/>
    <w:rsid w:val="3CCF2E90"/>
    <w:rsid w:val="3CD573AA"/>
    <w:rsid w:val="3CD65C4C"/>
    <w:rsid w:val="3CDD0A65"/>
    <w:rsid w:val="3CFE62E6"/>
    <w:rsid w:val="3D0221DE"/>
    <w:rsid w:val="3D09356D"/>
    <w:rsid w:val="3D09599C"/>
    <w:rsid w:val="3D100A5B"/>
    <w:rsid w:val="3D1436F3"/>
    <w:rsid w:val="3D176EBA"/>
    <w:rsid w:val="3D1C1345"/>
    <w:rsid w:val="3D2C58AB"/>
    <w:rsid w:val="3D32128F"/>
    <w:rsid w:val="3D340533"/>
    <w:rsid w:val="3D5055AA"/>
    <w:rsid w:val="3D51281E"/>
    <w:rsid w:val="3D530AC9"/>
    <w:rsid w:val="3D567E34"/>
    <w:rsid w:val="3D583BAC"/>
    <w:rsid w:val="3D624A2B"/>
    <w:rsid w:val="3D65276D"/>
    <w:rsid w:val="3D6A2344"/>
    <w:rsid w:val="3D84578F"/>
    <w:rsid w:val="3D87439A"/>
    <w:rsid w:val="3D8928C8"/>
    <w:rsid w:val="3D8E3A72"/>
    <w:rsid w:val="3D9A5AC9"/>
    <w:rsid w:val="3D9F68B6"/>
    <w:rsid w:val="3DAF5796"/>
    <w:rsid w:val="3DAF71B4"/>
    <w:rsid w:val="3DB42DAD"/>
    <w:rsid w:val="3DBB1AA6"/>
    <w:rsid w:val="3DBB413B"/>
    <w:rsid w:val="3DC82A90"/>
    <w:rsid w:val="3DD84CED"/>
    <w:rsid w:val="3DDA0A45"/>
    <w:rsid w:val="3DE230A0"/>
    <w:rsid w:val="3DE41B72"/>
    <w:rsid w:val="3DE41C1D"/>
    <w:rsid w:val="3DEB314D"/>
    <w:rsid w:val="3DED081E"/>
    <w:rsid w:val="3DF76196"/>
    <w:rsid w:val="3E0A1D77"/>
    <w:rsid w:val="3E111FAD"/>
    <w:rsid w:val="3E127CF4"/>
    <w:rsid w:val="3E13127B"/>
    <w:rsid w:val="3E1A3557"/>
    <w:rsid w:val="3E1A70B4"/>
    <w:rsid w:val="3E2148E6"/>
    <w:rsid w:val="3E214905"/>
    <w:rsid w:val="3E2F439F"/>
    <w:rsid w:val="3E3828B1"/>
    <w:rsid w:val="3E39541C"/>
    <w:rsid w:val="3E3E323C"/>
    <w:rsid w:val="3E465190"/>
    <w:rsid w:val="3E594080"/>
    <w:rsid w:val="3E5F540E"/>
    <w:rsid w:val="3E641DA7"/>
    <w:rsid w:val="3E6B7899"/>
    <w:rsid w:val="3E760CCA"/>
    <w:rsid w:val="3E7828A1"/>
    <w:rsid w:val="3E942EC5"/>
    <w:rsid w:val="3E96225C"/>
    <w:rsid w:val="3E9A2D1E"/>
    <w:rsid w:val="3E9C21BE"/>
    <w:rsid w:val="3EA94A54"/>
    <w:rsid w:val="3EC7317F"/>
    <w:rsid w:val="3EC906C4"/>
    <w:rsid w:val="3ECB6CF8"/>
    <w:rsid w:val="3EDE6AB1"/>
    <w:rsid w:val="3EE4060A"/>
    <w:rsid w:val="3EEE3F97"/>
    <w:rsid w:val="3EFF14A5"/>
    <w:rsid w:val="3F012022"/>
    <w:rsid w:val="3F0A537A"/>
    <w:rsid w:val="3F211CC2"/>
    <w:rsid w:val="3F4E1E62"/>
    <w:rsid w:val="3F4E4D6C"/>
    <w:rsid w:val="3F5D7400"/>
    <w:rsid w:val="3F5D7549"/>
    <w:rsid w:val="3F681218"/>
    <w:rsid w:val="3F693AA6"/>
    <w:rsid w:val="3F79605C"/>
    <w:rsid w:val="3F7B1942"/>
    <w:rsid w:val="3F9251CA"/>
    <w:rsid w:val="3FA25C38"/>
    <w:rsid w:val="3FA7706D"/>
    <w:rsid w:val="3FB928FC"/>
    <w:rsid w:val="3FBC4C4A"/>
    <w:rsid w:val="3FBE5D9F"/>
    <w:rsid w:val="3FC41CDB"/>
    <w:rsid w:val="3FD414E4"/>
    <w:rsid w:val="3FDD483D"/>
    <w:rsid w:val="3FF35E0E"/>
    <w:rsid w:val="40016AD4"/>
    <w:rsid w:val="40061FE5"/>
    <w:rsid w:val="40093884"/>
    <w:rsid w:val="40126313"/>
    <w:rsid w:val="40130557"/>
    <w:rsid w:val="40196EE6"/>
    <w:rsid w:val="403326AF"/>
    <w:rsid w:val="40356427"/>
    <w:rsid w:val="40556AC9"/>
    <w:rsid w:val="405C0D4E"/>
    <w:rsid w:val="406B61FC"/>
    <w:rsid w:val="40771CFE"/>
    <w:rsid w:val="40783FDB"/>
    <w:rsid w:val="407E7215"/>
    <w:rsid w:val="40B77904"/>
    <w:rsid w:val="40C37486"/>
    <w:rsid w:val="40D21EC7"/>
    <w:rsid w:val="40D42292"/>
    <w:rsid w:val="40DA6FCE"/>
    <w:rsid w:val="40DB7F40"/>
    <w:rsid w:val="40F34D59"/>
    <w:rsid w:val="40FA52E7"/>
    <w:rsid w:val="410228FE"/>
    <w:rsid w:val="4106669F"/>
    <w:rsid w:val="41250249"/>
    <w:rsid w:val="41270465"/>
    <w:rsid w:val="41393CF5"/>
    <w:rsid w:val="4142704D"/>
    <w:rsid w:val="41466412"/>
    <w:rsid w:val="415648A7"/>
    <w:rsid w:val="416679D3"/>
    <w:rsid w:val="4168282C"/>
    <w:rsid w:val="41837EB5"/>
    <w:rsid w:val="418807D8"/>
    <w:rsid w:val="418B3F42"/>
    <w:rsid w:val="41A25D3E"/>
    <w:rsid w:val="41A43864"/>
    <w:rsid w:val="41A53138"/>
    <w:rsid w:val="41D103D1"/>
    <w:rsid w:val="41D34149"/>
    <w:rsid w:val="41DA2351"/>
    <w:rsid w:val="41E06866"/>
    <w:rsid w:val="41E24F5D"/>
    <w:rsid w:val="41E719A3"/>
    <w:rsid w:val="41EE4ADF"/>
    <w:rsid w:val="41F370F8"/>
    <w:rsid w:val="41FA7928"/>
    <w:rsid w:val="41FF6551"/>
    <w:rsid w:val="420D11ED"/>
    <w:rsid w:val="422624CB"/>
    <w:rsid w:val="42324373"/>
    <w:rsid w:val="423F358D"/>
    <w:rsid w:val="42446DF5"/>
    <w:rsid w:val="424D6740"/>
    <w:rsid w:val="424E72DF"/>
    <w:rsid w:val="425270EF"/>
    <w:rsid w:val="425F40DA"/>
    <w:rsid w:val="42666D6B"/>
    <w:rsid w:val="42744BA0"/>
    <w:rsid w:val="42756FAE"/>
    <w:rsid w:val="42774755"/>
    <w:rsid w:val="42870A90"/>
    <w:rsid w:val="42AC7014"/>
    <w:rsid w:val="42B34630"/>
    <w:rsid w:val="42B555FD"/>
    <w:rsid w:val="42B86E9B"/>
    <w:rsid w:val="42C13FA2"/>
    <w:rsid w:val="42CE4911"/>
    <w:rsid w:val="42DC5D14"/>
    <w:rsid w:val="42E31E40"/>
    <w:rsid w:val="42FA336E"/>
    <w:rsid w:val="430F2F5F"/>
    <w:rsid w:val="43140575"/>
    <w:rsid w:val="43291707"/>
    <w:rsid w:val="432F1853"/>
    <w:rsid w:val="43346CE3"/>
    <w:rsid w:val="434A043B"/>
    <w:rsid w:val="434C7D5E"/>
    <w:rsid w:val="434E0DAB"/>
    <w:rsid w:val="435C3395"/>
    <w:rsid w:val="435E4682"/>
    <w:rsid w:val="435E5C94"/>
    <w:rsid w:val="436231D7"/>
    <w:rsid w:val="43694900"/>
    <w:rsid w:val="437B3976"/>
    <w:rsid w:val="43800213"/>
    <w:rsid w:val="43811983"/>
    <w:rsid w:val="43853221"/>
    <w:rsid w:val="4386768E"/>
    <w:rsid w:val="43A23DD3"/>
    <w:rsid w:val="43B546B1"/>
    <w:rsid w:val="43C05784"/>
    <w:rsid w:val="43D17C36"/>
    <w:rsid w:val="43D93BDD"/>
    <w:rsid w:val="43DB148D"/>
    <w:rsid w:val="43DC4842"/>
    <w:rsid w:val="43DD12AF"/>
    <w:rsid w:val="43E25370"/>
    <w:rsid w:val="43EC2A9D"/>
    <w:rsid w:val="44123821"/>
    <w:rsid w:val="44191BBB"/>
    <w:rsid w:val="442935E5"/>
    <w:rsid w:val="44347309"/>
    <w:rsid w:val="443B7D84"/>
    <w:rsid w:val="44450C02"/>
    <w:rsid w:val="44492726"/>
    <w:rsid w:val="444C39D2"/>
    <w:rsid w:val="445F2722"/>
    <w:rsid w:val="44605972"/>
    <w:rsid w:val="446465CA"/>
    <w:rsid w:val="446D11CE"/>
    <w:rsid w:val="44737242"/>
    <w:rsid w:val="44797A17"/>
    <w:rsid w:val="447D214A"/>
    <w:rsid w:val="447F5EC2"/>
    <w:rsid w:val="448B2CF2"/>
    <w:rsid w:val="448E4357"/>
    <w:rsid w:val="44986F84"/>
    <w:rsid w:val="44A56409"/>
    <w:rsid w:val="44AD0C81"/>
    <w:rsid w:val="44B30262"/>
    <w:rsid w:val="44BA514C"/>
    <w:rsid w:val="44BD69EB"/>
    <w:rsid w:val="44BE7A04"/>
    <w:rsid w:val="44BF2763"/>
    <w:rsid w:val="44C668DD"/>
    <w:rsid w:val="44E53F39"/>
    <w:rsid w:val="44E65F41"/>
    <w:rsid w:val="44E67CEF"/>
    <w:rsid w:val="44EE129A"/>
    <w:rsid w:val="44F26096"/>
    <w:rsid w:val="44FC2591"/>
    <w:rsid w:val="44FC39B7"/>
    <w:rsid w:val="45072E44"/>
    <w:rsid w:val="450C27BA"/>
    <w:rsid w:val="451F3201"/>
    <w:rsid w:val="4528638E"/>
    <w:rsid w:val="453E3FCF"/>
    <w:rsid w:val="454F1D39"/>
    <w:rsid w:val="454F446E"/>
    <w:rsid w:val="455455A1"/>
    <w:rsid w:val="45570670"/>
    <w:rsid w:val="45570BED"/>
    <w:rsid w:val="45617CBE"/>
    <w:rsid w:val="45877724"/>
    <w:rsid w:val="458E46B3"/>
    <w:rsid w:val="458F1038"/>
    <w:rsid w:val="45912351"/>
    <w:rsid w:val="4599441D"/>
    <w:rsid w:val="459E6D47"/>
    <w:rsid w:val="45AC0F39"/>
    <w:rsid w:val="45C64F3E"/>
    <w:rsid w:val="45C81AEB"/>
    <w:rsid w:val="45C862BC"/>
    <w:rsid w:val="45CA00A4"/>
    <w:rsid w:val="45D95AA6"/>
    <w:rsid w:val="45ED75B0"/>
    <w:rsid w:val="45F14BBF"/>
    <w:rsid w:val="45F96148"/>
    <w:rsid w:val="45FE3D6B"/>
    <w:rsid w:val="460B183E"/>
    <w:rsid w:val="46195EA3"/>
    <w:rsid w:val="462907DC"/>
    <w:rsid w:val="462C207A"/>
    <w:rsid w:val="464A0752"/>
    <w:rsid w:val="464A534D"/>
    <w:rsid w:val="464F41D5"/>
    <w:rsid w:val="46536E51"/>
    <w:rsid w:val="4654512D"/>
    <w:rsid w:val="465C7130"/>
    <w:rsid w:val="466C02F7"/>
    <w:rsid w:val="4672441D"/>
    <w:rsid w:val="4682613E"/>
    <w:rsid w:val="46843C64"/>
    <w:rsid w:val="468562F9"/>
    <w:rsid w:val="468D3DCB"/>
    <w:rsid w:val="468E7CFF"/>
    <w:rsid w:val="469872FC"/>
    <w:rsid w:val="469F1298"/>
    <w:rsid w:val="46BF6A4A"/>
    <w:rsid w:val="46D70E4D"/>
    <w:rsid w:val="46E42955"/>
    <w:rsid w:val="46EA5CC9"/>
    <w:rsid w:val="46EE37D3"/>
    <w:rsid w:val="46F43381"/>
    <w:rsid w:val="46F4765C"/>
    <w:rsid w:val="46F76FDC"/>
    <w:rsid w:val="46FD09E2"/>
    <w:rsid w:val="46FF61D0"/>
    <w:rsid w:val="4707219F"/>
    <w:rsid w:val="47264D1B"/>
    <w:rsid w:val="47451645"/>
    <w:rsid w:val="47462CC7"/>
    <w:rsid w:val="47541888"/>
    <w:rsid w:val="4761585B"/>
    <w:rsid w:val="47783642"/>
    <w:rsid w:val="47875FA1"/>
    <w:rsid w:val="47990C52"/>
    <w:rsid w:val="479951CA"/>
    <w:rsid w:val="479E76E4"/>
    <w:rsid w:val="47A20403"/>
    <w:rsid w:val="47A65E5C"/>
    <w:rsid w:val="47A7367E"/>
    <w:rsid w:val="47AB6FCE"/>
    <w:rsid w:val="47BA4746"/>
    <w:rsid w:val="47D622A1"/>
    <w:rsid w:val="47DB5B06"/>
    <w:rsid w:val="47E10C42"/>
    <w:rsid w:val="47F71E45"/>
    <w:rsid w:val="4800556C"/>
    <w:rsid w:val="48007A58"/>
    <w:rsid w:val="48102766"/>
    <w:rsid w:val="48180B08"/>
    <w:rsid w:val="48201D5E"/>
    <w:rsid w:val="483A5C59"/>
    <w:rsid w:val="484A4A39"/>
    <w:rsid w:val="48517CFF"/>
    <w:rsid w:val="48563D3B"/>
    <w:rsid w:val="485F5E43"/>
    <w:rsid w:val="48706B15"/>
    <w:rsid w:val="48725E56"/>
    <w:rsid w:val="4879363B"/>
    <w:rsid w:val="487B1097"/>
    <w:rsid w:val="489278B0"/>
    <w:rsid w:val="48967A43"/>
    <w:rsid w:val="489E6073"/>
    <w:rsid w:val="48A86E60"/>
    <w:rsid w:val="48AA0090"/>
    <w:rsid w:val="48AB372A"/>
    <w:rsid w:val="48B14AB8"/>
    <w:rsid w:val="48B56F6C"/>
    <w:rsid w:val="48B67B99"/>
    <w:rsid w:val="48BD16AF"/>
    <w:rsid w:val="48BD506A"/>
    <w:rsid w:val="48BE2FC1"/>
    <w:rsid w:val="48CC59F3"/>
    <w:rsid w:val="48D73775"/>
    <w:rsid w:val="48E96A6B"/>
    <w:rsid w:val="48EB1F93"/>
    <w:rsid w:val="48EE3617"/>
    <w:rsid w:val="48F12466"/>
    <w:rsid w:val="48FA020D"/>
    <w:rsid w:val="490270C2"/>
    <w:rsid w:val="49035C1C"/>
    <w:rsid w:val="49060960"/>
    <w:rsid w:val="490948F4"/>
    <w:rsid w:val="490D74AE"/>
    <w:rsid w:val="49105C83"/>
    <w:rsid w:val="492E7AC5"/>
    <w:rsid w:val="49301E81"/>
    <w:rsid w:val="493F2C25"/>
    <w:rsid w:val="49466876"/>
    <w:rsid w:val="49723868"/>
    <w:rsid w:val="49814AF7"/>
    <w:rsid w:val="4990255D"/>
    <w:rsid w:val="49916E11"/>
    <w:rsid w:val="499B4774"/>
    <w:rsid w:val="49A61089"/>
    <w:rsid w:val="49BE748D"/>
    <w:rsid w:val="49CF1508"/>
    <w:rsid w:val="49DA6BA1"/>
    <w:rsid w:val="49EF3AEA"/>
    <w:rsid w:val="49F27972"/>
    <w:rsid w:val="49F66C27"/>
    <w:rsid w:val="49F8312B"/>
    <w:rsid w:val="49FC5E8E"/>
    <w:rsid w:val="4A02381D"/>
    <w:rsid w:val="4A1277D9"/>
    <w:rsid w:val="4A1A2F15"/>
    <w:rsid w:val="4A1E07F6"/>
    <w:rsid w:val="4A282AD1"/>
    <w:rsid w:val="4A2D6DBA"/>
    <w:rsid w:val="4A303FA5"/>
    <w:rsid w:val="4A351CF9"/>
    <w:rsid w:val="4A3F2126"/>
    <w:rsid w:val="4A443E36"/>
    <w:rsid w:val="4A487725"/>
    <w:rsid w:val="4A507696"/>
    <w:rsid w:val="4A520E1F"/>
    <w:rsid w:val="4A555EA2"/>
    <w:rsid w:val="4A58508A"/>
    <w:rsid w:val="4A5F04DC"/>
    <w:rsid w:val="4A6B1F87"/>
    <w:rsid w:val="4A8A46EE"/>
    <w:rsid w:val="4A8C758B"/>
    <w:rsid w:val="4A8E3303"/>
    <w:rsid w:val="4A925EB3"/>
    <w:rsid w:val="4A941775"/>
    <w:rsid w:val="4A995F63"/>
    <w:rsid w:val="4A9B77CE"/>
    <w:rsid w:val="4AA173BA"/>
    <w:rsid w:val="4AA74645"/>
    <w:rsid w:val="4AB50890"/>
    <w:rsid w:val="4AB663B6"/>
    <w:rsid w:val="4AE10CC5"/>
    <w:rsid w:val="4AF018C8"/>
    <w:rsid w:val="4AFA500A"/>
    <w:rsid w:val="4AFF7D5D"/>
    <w:rsid w:val="4B0D352A"/>
    <w:rsid w:val="4B243E1C"/>
    <w:rsid w:val="4B2477C4"/>
    <w:rsid w:val="4B296B88"/>
    <w:rsid w:val="4B602854"/>
    <w:rsid w:val="4B6A5A4A"/>
    <w:rsid w:val="4B6E4E33"/>
    <w:rsid w:val="4B7E1A91"/>
    <w:rsid w:val="4B851B8C"/>
    <w:rsid w:val="4B895879"/>
    <w:rsid w:val="4B951644"/>
    <w:rsid w:val="4BA97E1E"/>
    <w:rsid w:val="4BBC5C4E"/>
    <w:rsid w:val="4BC47B8A"/>
    <w:rsid w:val="4BD8788C"/>
    <w:rsid w:val="4BE551A5"/>
    <w:rsid w:val="4BFC4BE5"/>
    <w:rsid w:val="4C025B66"/>
    <w:rsid w:val="4C091D74"/>
    <w:rsid w:val="4C1433C9"/>
    <w:rsid w:val="4C145C5C"/>
    <w:rsid w:val="4C196AB6"/>
    <w:rsid w:val="4C1E2465"/>
    <w:rsid w:val="4C2423A9"/>
    <w:rsid w:val="4C2A2695"/>
    <w:rsid w:val="4C2E2127"/>
    <w:rsid w:val="4C343A36"/>
    <w:rsid w:val="4C373527"/>
    <w:rsid w:val="4C3B55CC"/>
    <w:rsid w:val="4C547C35"/>
    <w:rsid w:val="4C7668EC"/>
    <w:rsid w:val="4C786019"/>
    <w:rsid w:val="4C831EDD"/>
    <w:rsid w:val="4C912C37"/>
    <w:rsid w:val="4C9E3B46"/>
    <w:rsid w:val="4CA46E0E"/>
    <w:rsid w:val="4CB84667"/>
    <w:rsid w:val="4CC36B68"/>
    <w:rsid w:val="4CDE76B3"/>
    <w:rsid w:val="4CFA6A2E"/>
    <w:rsid w:val="4D0101DE"/>
    <w:rsid w:val="4D0553D3"/>
    <w:rsid w:val="4D0A3F76"/>
    <w:rsid w:val="4D1A4185"/>
    <w:rsid w:val="4D1B69A4"/>
    <w:rsid w:val="4D2C2C5D"/>
    <w:rsid w:val="4D2F0C0B"/>
    <w:rsid w:val="4D4D53C5"/>
    <w:rsid w:val="4D4E5624"/>
    <w:rsid w:val="4D844549"/>
    <w:rsid w:val="4D901140"/>
    <w:rsid w:val="4D922D30"/>
    <w:rsid w:val="4D994499"/>
    <w:rsid w:val="4DB61CCA"/>
    <w:rsid w:val="4DBA7D4C"/>
    <w:rsid w:val="4DBD6033"/>
    <w:rsid w:val="4DC02676"/>
    <w:rsid w:val="4DC04C80"/>
    <w:rsid w:val="4DC11F6C"/>
    <w:rsid w:val="4DDF3E76"/>
    <w:rsid w:val="4DE17BEE"/>
    <w:rsid w:val="4DF11A4C"/>
    <w:rsid w:val="4DF27705"/>
    <w:rsid w:val="4E000925"/>
    <w:rsid w:val="4E08186E"/>
    <w:rsid w:val="4E183ADE"/>
    <w:rsid w:val="4E3221F7"/>
    <w:rsid w:val="4E33136D"/>
    <w:rsid w:val="4E344FCB"/>
    <w:rsid w:val="4E37780E"/>
    <w:rsid w:val="4E39285C"/>
    <w:rsid w:val="4E501BE5"/>
    <w:rsid w:val="4E5E32BA"/>
    <w:rsid w:val="4E630603"/>
    <w:rsid w:val="4E6A7C4E"/>
    <w:rsid w:val="4E6D3230"/>
    <w:rsid w:val="4E7740AE"/>
    <w:rsid w:val="4E7D7917"/>
    <w:rsid w:val="4EB65EBA"/>
    <w:rsid w:val="4ED02F61"/>
    <w:rsid w:val="4ED3237F"/>
    <w:rsid w:val="4ED6459C"/>
    <w:rsid w:val="4ED65779"/>
    <w:rsid w:val="4EDE412D"/>
    <w:rsid w:val="4EE2777A"/>
    <w:rsid w:val="4EE94FEF"/>
    <w:rsid w:val="4EEF1E97"/>
    <w:rsid w:val="4EF94AC3"/>
    <w:rsid w:val="4F044175"/>
    <w:rsid w:val="4F0924DC"/>
    <w:rsid w:val="4F0A4F22"/>
    <w:rsid w:val="4F12716D"/>
    <w:rsid w:val="4F1638C7"/>
    <w:rsid w:val="4F217232"/>
    <w:rsid w:val="4F287117"/>
    <w:rsid w:val="4F31425D"/>
    <w:rsid w:val="4F3B686F"/>
    <w:rsid w:val="4F482BDA"/>
    <w:rsid w:val="4F7F146C"/>
    <w:rsid w:val="4F8D182E"/>
    <w:rsid w:val="4FA86E02"/>
    <w:rsid w:val="4FB01626"/>
    <w:rsid w:val="4FB56BEA"/>
    <w:rsid w:val="4FB81748"/>
    <w:rsid w:val="4FC51622"/>
    <w:rsid w:val="4FD277EE"/>
    <w:rsid w:val="4FDF65CD"/>
    <w:rsid w:val="4FED47FA"/>
    <w:rsid w:val="50025BF9"/>
    <w:rsid w:val="50243DC2"/>
    <w:rsid w:val="50277D8E"/>
    <w:rsid w:val="50483F54"/>
    <w:rsid w:val="504B134F"/>
    <w:rsid w:val="504B56E7"/>
    <w:rsid w:val="504E1C40"/>
    <w:rsid w:val="5052092F"/>
    <w:rsid w:val="505740C9"/>
    <w:rsid w:val="50812371"/>
    <w:rsid w:val="50950F16"/>
    <w:rsid w:val="509A2FDE"/>
    <w:rsid w:val="50A078EC"/>
    <w:rsid w:val="50A13664"/>
    <w:rsid w:val="50A54F03"/>
    <w:rsid w:val="50B25872"/>
    <w:rsid w:val="50BB4726"/>
    <w:rsid w:val="50C057AC"/>
    <w:rsid w:val="50C35389"/>
    <w:rsid w:val="50CA4969"/>
    <w:rsid w:val="50CE279C"/>
    <w:rsid w:val="50CF3D2E"/>
    <w:rsid w:val="50D516B9"/>
    <w:rsid w:val="50DE0415"/>
    <w:rsid w:val="50EA0A1F"/>
    <w:rsid w:val="50F33EC0"/>
    <w:rsid w:val="50FC37C6"/>
    <w:rsid w:val="51257DF2"/>
    <w:rsid w:val="51267769"/>
    <w:rsid w:val="512A6927"/>
    <w:rsid w:val="513122AA"/>
    <w:rsid w:val="51454E60"/>
    <w:rsid w:val="514F7346"/>
    <w:rsid w:val="515626A1"/>
    <w:rsid w:val="516120A6"/>
    <w:rsid w:val="51624BA2"/>
    <w:rsid w:val="51625339"/>
    <w:rsid w:val="51673073"/>
    <w:rsid w:val="516D3D99"/>
    <w:rsid w:val="516E79EA"/>
    <w:rsid w:val="51840FBC"/>
    <w:rsid w:val="51852391"/>
    <w:rsid w:val="518A57C6"/>
    <w:rsid w:val="518B0655"/>
    <w:rsid w:val="518C0673"/>
    <w:rsid w:val="518C1389"/>
    <w:rsid w:val="518C15EE"/>
    <w:rsid w:val="51954F77"/>
    <w:rsid w:val="51AE7DE7"/>
    <w:rsid w:val="51AF590D"/>
    <w:rsid w:val="51BC0756"/>
    <w:rsid w:val="51C04FDC"/>
    <w:rsid w:val="51C221AF"/>
    <w:rsid w:val="51C404B0"/>
    <w:rsid w:val="51C52AD1"/>
    <w:rsid w:val="52021F07"/>
    <w:rsid w:val="52224331"/>
    <w:rsid w:val="522F71C0"/>
    <w:rsid w:val="52316A1D"/>
    <w:rsid w:val="523A62C1"/>
    <w:rsid w:val="523D116B"/>
    <w:rsid w:val="52493560"/>
    <w:rsid w:val="525B7FEA"/>
    <w:rsid w:val="5262140D"/>
    <w:rsid w:val="52641C79"/>
    <w:rsid w:val="52662336"/>
    <w:rsid w:val="526864EB"/>
    <w:rsid w:val="526B217C"/>
    <w:rsid w:val="526D37FE"/>
    <w:rsid w:val="527132E4"/>
    <w:rsid w:val="5286423E"/>
    <w:rsid w:val="528B0128"/>
    <w:rsid w:val="52917701"/>
    <w:rsid w:val="52972235"/>
    <w:rsid w:val="52BD60EB"/>
    <w:rsid w:val="52CA2DA7"/>
    <w:rsid w:val="52CF6267"/>
    <w:rsid w:val="52EC417A"/>
    <w:rsid w:val="52EF609B"/>
    <w:rsid w:val="52F263F9"/>
    <w:rsid w:val="52F83A10"/>
    <w:rsid w:val="53034162"/>
    <w:rsid w:val="530A3743"/>
    <w:rsid w:val="530F0D59"/>
    <w:rsid w:val="531430DD"/>
    <w:rsid w:val="531D4AF1"/>
    <w:rsid w:val="531E0F9C"/>
    <w:rsid w:val="5322283B"/>
    <w:rsid w:val="53266D5D"/>
    <w:rsid w:val="53312A7E"/>
    <w:rsid w:val="53314C34"/>
    <w:rsid w:val="53397B84"/>
    <w:rsid w:val="53425B98"/>
    <w:rsid w:val="53435870"/>
    <w:rsid w:val="534C5B09"/>
    <w:rsid w:val="535E583D"/>
    <w:rsid w:val="535E64A6"/>
    <w:rsid w:val="5362532D"/>
    <w:rsid w:val="5379701E"/>
    <w:rsid w:val="53831F35"/>
    <w:rsid w:val="53883137"/>
    <w:rsid w:val="53894668"/>
    <w:rsid w:val="538A5ED0"/>
    <w:rsid w:val="5396277D"/>
    <w:rsid w:val="53981AC7"/>
    <w:rsid w:val="539D45B7"/>
    <w:rsid w:val="53B94AB6"/>
    <w:rsid w:val="53C766F8"/>
    <w:rsid w:val="53D752BC"/>
    <w:rsid w:val="53FD5056"/>
    <w:rsid w:val="54004D75"/>
    <w:rsid w:val="5402441A"/>
    <w:rsid w:val="542045B3"/>
    <w:rsid w:val="54260108"/>
    <w:rsid w:val="542645AC"/>
    <w:rsid w:val="545509EE"/>
    <w:rsid w:val="546A5834"/>
    <w:rsid w:val="5476375F"/>
    <w:rsid w:val="54767D77"/>
    <w:rsid w:val="5480666D"/>
    <w:rsid w:val="54AE104D"/>
    <w:rsid w:val="54BC0A6D"/>
    <w:rsid w:val="54D538DD"/>
    <w:rsid w:val="54DD5D85"/>
    <w:rsid w:val="54EF2BF0"/>
    <w:rsid w:val="54F32715"/>
    <w:rsid w:val="54F627E5"/>
    <w:rsid w:val="550D48C1"/>
    <w:rsid w:val="55164621"/>
    <w:rsid w:val="551B39E5"/>
    <w:rsid w:val="552F01AA"/>
    <w:rsid w:val="55333D21"/>
    <w:rsid w:val="5538374D"/>
    <w:rsid w:val="553B4087"/>
    <w:rsid w:val="55567512"/>
    <w:rsid w:val="555D3FFE"/>
    <w:rsid w:val="5573542B"/>
    <w:rsid w:val="557355CF"/>
    <w:rsid w:val="55802E36"/>
    <w:rsid w:val="5580720F"/>
    <w:rsid w:val="55B33C1E"/>
    <w:rsid w:val="55B81234"/>
    <w:rsid w:val="55BD1A84"/>
    <w:rsid w:val="55D8083C"/>
    <w:rsid w:val="55EF09CE"/>
    <w:rsid w:val="56002BDB"/>
    <w:rsid w:val="56105220"/>
    <w:rsid w:val="561A5A4B"/>
    <w:rsid w:val="561F5757"/>
    <w:rsid w:val="561F7505"/>
    <w:rsid w:val="56222F84"/>
    <w:rsid w:val="56696900"/>
    <w:rsid w:val="566A0E5F"/>
    <w:rsid w:val="56773007"/>
    <w:rsid w:val="567F58A7"/>
    <w:rsid w:val="56D227CA"/>
    <w:rsid w:val="56DD08DC"/>
    <w:rsid w:val="56ED5BFF"/>
    <w:rsid w:val="57045E05"/>
    <w:rsid w:val="570D067D"/>
    <w:rsid w:val="57233025"/>
    <w:rsid w:val="57244C28"/>
    <w:rsid w:val="572D3C16"/>
    <w:rsid w:val="572F33D1"/>
    <w:rsid w:val="575A4DA8"/>
    <w:rsid w:val="575A77EE"/>
    <w:rsid w:val="575F447B"/>
    <w:rsid w:val="576158FB"/>
    <w:rsid w:val="576527EF"/>
    <w:rsid w:val="57672F12"/>
    <w:rsid w:val="57766BFB"/>
    <w:rsid w:val="579161E1"/>
    <w:rsid w:val="57921D54"/>
    <w:rsid w:val="579D2DD8"/>
    <w:rsid w:val="57C02622"/>
    <w:rsid w:val="57D55A7C"/>
    <w:rsid w:val="57E04A72"/>
    <w:rsid w:val="57EB0F0E"/>
    <w:rsid w:val="58003366"/>
    <w:rsid w:val="580E02F4"/>
    <w:rsid w:val="580E59F2"/>
    <w:rsid w:val="58152362"/>
    <w:rsid w:val="58272430"/>
    <w:rsid w:val="58353010"/>
    <w:rsid w:val="58490869"/>
    <w:rsid w:val="584A3ED8"/>
    <w:rsid w:val="58517B83"/>
    <w:rsid w:val="585409EA"/>
    <w:rsid w:val="58697E17"/>
    <w:rsid w:val="586B07E0"/>
    <w:rsid w:val="58710E12"/>
    <w:rsid w:val="58770960"/>
    <w:rsid w:val="587F0C51"/>
    <w:rsid w:val="588612CF"/>
    <w:rsid w:val="589510B3"/>
    <w:rsid w:val="5898359F"/>
    <w:rsid w:val="589D0BB5"/>
    <w:rsid w:val="58BB159C"/>
    <w:rsid w:val="58C00C36"/>
    <w:rsid w:val="58D463D9"/>
    <w:rsid w:val="58D74DDE"/>
    <w:rsid w:val="58DC348C"/>
    <w:rsid w:val="58EA534B"/>
    <w:rsid w:val="58EF1411"/>
    <w:rsid w:val="58EF1AD1"/>
    <w:rsid w:val="58F95DD8"/>
    <w:rsid w:val="591515CB"/>
    <w:rsid w:val="5930469B"/>
    <w:rsid w:val="59430D98"/>
    <w:rsid w:val="59436CBC"/>
    <w:rsid w:val="594A60CA"/>
    <w:rsid w:val="596A6CE9"/>
    <w:rsid w:val="59835FFD"/>
    <w:rsid w:val="598D7E7C"/>
    <w:rsid w:val="599C1170"/>
    <w:rsid w:val="59BF35DF"/>
    <w:rsid w:val="59C33DB2"/>
    <w:rsid w:val="59CF2FF0"/>
    <w:rsid w:val="59E44CEE"/>
    <w:rsid w:val="59E56370"/>
    <w:rsid w:val="59EF5395"/>
    <w:rsid w:val="5A086CF3"/>
    <w:rsid w:val="5A111FBE"/>
    <w:rsid w:val="5A1E7FBA"/>
    <w:rsid w:val="5A276F81"/>
    <w:rsid w:val="5A33532D"/>
    <w:rsid w:val="5A417B04"/>
    <w:rsid w:val="5A4A4B2A"/>
    <w:rsid w:val="5A5A5CCE"/>
    <w:rsid w:val="5A6916C0"/>
    <w:rsid w:val="5A6F20DD"/>
    <w:rsid w:val="5A783688"/>
    <w:rsid w:val="5A7B6CD4"/>
    <w:rsid w:val="5A821E11"/>
    <w:rsid w:val="5A8B33BB"/>
    <w:rsid w:val="5A9D52B5"/>
    <w:rsid w:val="5A9E32A7"/>
    <w:rsid w:val="5AA77D25"/>
    <w:rsid w:val="5AAA2A2E"/>
    <w:rsid w:val="5AD00DCE"/>
    <w:rsid w:val="5ADB29FA"/>
    <w:rsid w:val="5AE164E4"/>
    <w:rsid w:val="5AEC14F9"/>
    <w:rsid w:val="5AF20DEB"/>
    <w:rsid w:val="5AF2420B"/>
    <w:rsid w:val="5B003036"/>
    <w:rsid w:val="5B042454"/>
    <w:rsid w:val="5B105E0A"/>
    <w:rsid w:val="5B1866C5"/>
    <w:rsid w:val="5B1E7D8B"/>
    <w:rsid w:val="5B33135D"/>
    <w:rsid w:val="5B345801"/>
    <w:rsid w:val="5B3A7B1C"/>
    <w:rsid w:val="5B491F2D"/>
    <w:rsid w:val="5B524351"/>
    <w:rsid w:val="5B8147BE"/>
    <w:rsid w:val="5B885B4D"/>
    <w:rsid w:val="5B8E0A49"/>
    <w:rsid w:val="5B904C74"/>
    <w:rsid w:val="5B946864"/>
    <w:rsid w:val="5B975D90"/>
    <w:rsid w:val="5B99216E"/>
    <w:rsid w:val="5B9A03B8"/>
    <w:rsid w:val="5B9D45BF"/>
    <w:rsid w:val="5BBE0374"/>
    <w:rsid w:val="5BC16969"/>
    <w:rsid w:val="5BC9152F"/>
    <w:rsid w:val="5BD14B03"/>
    <w:rsid w:val="5BD818EA"/>
    <w:rsid w:val="5BD955C8"/>
    <w:rsid w:val="5BE72873"/>
    <w:rsid w:val="5BF07746"/>
    <w:rsid w:val="5BFD3E45"/>
    <w:rsid w:val="5C190436"/>
    <w:rsid w:val="5C270EC2"/>
    <w:rsid w:val="5C2B5569"/>
    <w:rsid w:val="5C3B496D"/>
    <w:rsid w:val="5C446A82"/>
    <w:rsid w:val="5C450C1E"/>
    <w:rsid w:val="5C480E38"/>
    <w:rsid w:val="5C4C26D6"/>
    <w:rsid w:val="5C5225A0"/>
    <w:rsid w:val="5C5278E9"/>
    <w:rsid w:val="5C573250"/>
    <w:rsid w:val="5C6D7659"/>
    <w:rsid w:val="5C7A7BB6"/>
    <w:rsid w:val="5C82434A"/>
    <w:rsid w:val="5CAC425C"/>
    <w:rsid w:val="5CBB0383"/>
    <w:rsid w:val="5CD54DC2"/>
    <w:rsid w:val="5CD64696"/>
    <w:rsid w:val="5CE2128D"/>
    <w:rsid w:val="5CE60D7D"/>
    <w:rsid w:val="5CF51BD3"/>
    <w:rsid w:val="5CF7289E"/>
    <w:rsid w:val="5D071531"/>
    <w:rsid w:val="5D176B71"/>
    <w:rsid w:val="5D1A6C78"/>
    <w:rsid w:val="5D307AAD"/>
    <w:rsid w:val="5D435270"/>
    <w:rsid w:val="5D4D6706"/>
    <w:rsid w:val="5D513FD1"/>
    <w:rsid w:val="5D62383E"/>
    <w:rsid w:val="5D865CB3"/>
    <w:rsid w:val="5DB4386A"/>
    <w:rsid w:val="5DB734D6"/>
    <w:rsid w:val="5DC808C2"/>
    <w:rsid w:val="5DDD2180"/>
    <w:rsid w:val="5DE3706A"/>
    <w:rsid w:val="5DEB1601"/>
    <w:rsid w:val="5DF271A3"/>
    <w:rsid w:val="5DFB1B13"/>
    <w:rsid w:val="5E08087F"/>
    <w:rsid w:val="5E1E072B"/>
    <w:rsid w:val="5E203E1A"/>
    <w:rsid w:val="5E225DE5"/>
    <w:rsid w:val="5E310F5A"/>
    <w:rsid w:val="5E5341F0"/>
    <w:rsid w:val="5E623203"/>
    <w:rsid w:val="5E7513B9"/>
    <w:rsid w:val="5E7A79CF"/>
    <w:rsid w:val="5E8C508E"/>
    <w:rsid w:val="5EA944E1"/>
    <w:rsid w:val="5EBE53E1"/>
    <w:rsid w:val="5ED2780B"/>
    <w:rsid w:val="5ED750F1"/>
    <w:rsid w:val="5EE74938"/>
    <w:rsid w:val="5EE96902"/>
    <w:rsid w:val="5EEA00E8"/>
    <w:rsid w:val="5EF26DE6"/>
    <w:rsid w:val="5F013C4C"/>
    <w:rsid w:val="5F22656A"/>
    <w:rsid w:val="5F233717"/>
    <w:rsid w:val="5F251C1C"/>
    <w:rsid w:val="5F2931A3"/>
    <w:rsid w:val="5F3E790D"/>
    <w:rsid w:val="5F447FDD"/>
    <w:rsid w:val="5F530220"/>
    <w:rsid w:val="5F6637EC"/>
    <w:rsid w:val="5F916CC2"/>
    <w:rsid w:val="5F9768E9"/>
    <w:rsid w:val="5F9D1413"/>
    <w:rsid w:val="5FB11D30"/>
    <w:rsid w:val="5FB26D4F"/>
    <w:rsid w:val="5FB802F3"/>
    <w:rsid w:val="5FD621A4"/>
    <w:rsid w:val="5FF27A39"/>
    <w:rsid w:val="5FF52176"/>
    <w:rsid w:val="5FFE018B"/>
    <w:rsid w:val="60093B52"/>
    <w:rsid w:val="600E48ED"/>
    <w:rsid w:val="6011597D"/>
    <w:rsid w:val="602557FB"/>
    <w:rsid w:val="60280523"/>
    <w:rsid w:val="602A5424"/>
    <w:rsid w:val="60397415"/>
    <w:rsid w:val="604007A4"/>
    <w:rsid w:val="60406292"/>
    <w:rsid w:val="604B08C1"/>
    <w:rsid w:val="60543DAD"/>
    <w:rsid w:val="60567FC7"/>
    <w:rsid w:val="606A4E75"/>
    <w:rsid w:val="60863D99"/>
    <w:rsid w:val="60A46FF9"/>
    <w:rsid w:val="60C110F2"/>
    <w:rsid w:val="60D13AF2"/>
    <w:rsid w:val="60D94755"/>
    <w:rsid w:val="60DF29F3"/>
    <w:rsid w:val="60E06490"/>
    <w:rsid w:val="60E3072E"/>
    <w:rsid w:val="60E87FF2"/>
    <w:rsid w:val="60EF5D26"/>
    <w:rsid w:val="61170DD0"/>
    <w:rsid w:val="612B1BAA"/>
    <w:rsid w:val="61332D3B"/>
    <w:rsid w:val="613D1187"/>
    <w:rsid w:val="613D5274"/>
    <w:rsid w:val="61404326"/>
    <w:rsid w:val="61412A26"/>
    <w:rsid w:val="61481763"/>
    <w:rsid w:val="614B11AE"/>
    <w:rsid w:val="614B38A4"/>
    <w:rsid w:val="6157306D"/>
    <w:rsid w:val="61590B79"/>
    <w:rsid w:val="6165658B"/>
    <w:rsid w:val="61672C42"/>
    <w:rsid w:val="6168173E"/>
    <w:rsid w:val="61784836"/>
    <w:rsid w:val="6181058A"/>
    <w:rsid w:val="6186187D"/>
    <w:rsid w:val="61865197"/>
    <w:rsid w:val="618A0B05"/>
    <w:rsid w:val="618E57EA"/>
    <w:rsid w:val="619C5EAE"/>
    <w:rsid w:val="61A662CE"/>
    <w:rsid w:val="61BA6334"/>
    <w:rsid w:val="61BC3AF2"/>
    <w:rsid w:val="61C60FF4"/>
    <w:rsid w:val="61D218D0"/>
    <w:rsid w:val="61D45648"/>
    <w:rsid w:val="61D62B6D"/>
    <w:rsid w:val="61EC75D6"/>
    <w:rsid w:val="61EF4230"/>
    <w:rsid w:val="61F23D20"/>
    <w:rsid w:val="61F77588"/>
    <w:rsid w:val="62126170"/>
    <w:rsid w:val="6223212B"/>
    <w:rsid w:val="622D4D58"/>
    <w:rsid w:val="622F6D22"/>
    <w:rsid w:val="62347E94"/>
    <w:rsid w:val="62381227"/>
    <w:rsid w:val="624A4CA7"/>
    <w:rsid w:val="624B7414"/>
    <w:rsid w:val="625422E5"/>
    <w:rsid w:val="625473BB"/>
    <w:rsid w:val="62586279"/>
    <w:rsid w:val="62592CE2"/>
    <w:rsid w:val="625D388F"/>
    <w:rsid w:val="626F08D2"/>
    <w:rsid w:val="627A1305"/>
    <w:rsid w:val="62823E26"/>
    <w:rsid w:val="62830E1C"/>
    <w:rsid w:val="62A212A2"/>
    <w:rsid w:val="62A72BBE"/>
    <w:rsid w:val="62A96AD4"/>
    <w:rsid w:val="62AE40EB"/>
    <w:rsid w:val="62BC7E8A"/>
    <w:rsid w:val="62C05BCC"/>
    <w:rsid w:val="62C40B19"/>
    <w:rsid w:val="62C70A69"/>
    <w:rsid w:val="62E8408A"/>
    <w:rsid w:val="62EC6150"/>
    <w:rsid w:val="62ED5EBF"/>
    <w:rsid w:val="62EE1AA6"/>
    <w:rsid w:val="62EF55A7"/>
    <w:rsid w:val="62F51723"/>
    <w:rsid w:val="62F87114"/>
    <w:rsid w:val="62FC2897"/>
    <w:rsid w:val="62FC592B"/>
    <w:rsid w:val="63072C30"/>
    <w:rsid w:val="63072C66"/>
    <w:rsid w:val="6309310A"/>
    <w:rsid w:val="631F0B45"/>
    <w:rsid w:val="633F4D43"/>
    <w:rsid w:val="6354487F"/>
    <w:rsid w:val="63612C49"/>
    <w:rsid w:val="63666773"/>
    <w:rsid w:val="6367542E"/>
    <w:rsid w:val="6388493C"/>
    <w:rsid w:val="63AE3C76"/>
    <w:rsid w:val="63AF718C"/>
    <w:rsid w:val="63B3395D"/>
    <w:rsid w:val="63C662B1"/>
    <w:rsid w:val="63CF5D9C"/>
    <w:rsid w:val="63DB2F88"/>
    <w:rsid w:val="63EF32BD"/>
    <w:rsid w:val="63F43D7F"/>
    <w:rsid w:val="63F61158"/>
    <w:rsid w:val="64076CA8"/>
    <w:rsid w:val="64124205"/>
    <w:rsid w:val="641D78B9"/>
    <w:rsid w:val="643343C1"/>
    <w:rsid w:val="64346110"/>
    <w:rsid w:val="643541AF"/>
    <w:rsid w:val="643C1282"/>
    <w:rsid w:val="643D56FD"/>
    <w:rsid w:val="64507EF3"/>
    <w:rsid w:val="645973A2"/>
    <w:rsid w:val="646A2293"/>
    <w:rsid w:val="646B6192"/>
    <w:rsid w:val="64803865"/>
    <w:rsid w:val="64860EB8"/>
    <w:rsid w:val="648A1D2F"/>
    <w:rsid w:val="64964E36"/>
    <w:rsid w:val="6497760E"/>
    <w:rsid w:val="649A6644"/>
    <w:rsid w:val="64A05CB5"/>
    <w:rsid w:val="64A75B56"/>
    <w:rsid w:val="64B6459D"/>
    <w:rsid w:val="64C63F4B"/>
    <w:rsid w:val="64CA0F84"/>
    <w:rsid w:val="64CF20F6"/>
    <w:rsid w:val="64D43BB1"/>
    <w:rsid w:val="64D4595F"/>
    <w:rsid w:val="64DB56EF"/>
    <w:rsid w:val="64F733FB"/>
    <w:rsid w:val="64F94E73"/>
    <w:rsid w:val="64FD6C64"/>
    <w:rsid w:val="6502071E"/>
    <w:rsid w:val="65044496"/>
    <w:rsid w:val="650D1E50"/>
    <w:rsid w:val="65104721"/>
    <w:rsid w:val="6514150D"/>
    <w:rsid w:val="65294721"/>
    <w:rsid w:val="65297A59"/>
    <w:rsid w:val="652F7039"/>
    <w:rsid w:val="65490C43"/>
    <w:rsid w:val="654D786C"/>
    <w:rsid w:val="655500C3"/>
    <w:rsid w:val="655C385D"/>
    <w:rsid w:val="658F724D"/>
    <w:rsid w:val="659001FF"/>
    <w:rsid w:val="659A2704"/>
    <w:rsid w:val="65A215B9"/>
    <w:rsid w:val="65A84620"/>
    <w:rsid w:val="65A951B7"/>
    <w:rsid w:val="65B51A37"/>
    <w:rsid w:val="65B65064"/>
    <w:rsid w:val="65B85280"/>
    <w:rsid w:val="65C459D3"/>
    <w:rsid w:val="65CD51AC"/>
    <w:rsid w:val="65F067C8"/>
    <w:rsid w:val="660F4C99"/>
    <w:rsid w:val="66100862"/>
    <w:rsid w:val="662E10DE"/>
    <w:rsid w:val="66392D26"/>
    <w:rsid w:val="66414E1C"/>
    <w:rsid w:val="664D59C9"/>
    <w:rsid w:val="6654265B"/>
    <w:rsid w:val="66581072"/>
    <w:rsid w:val="665A551B"/>
    <w:rsid w:val="666D1BC7"/>
    <w:rsid w:val="668257A8"/>
    <w:rsid w:val="668F4233"/>
    <w:rsid w:val="66901724"/>
    <w:rsid w:val="669D6A02"/>
    <w:rsid w:val="669D7D3B"/>
    <w:rsid w:val="669E7FD2"/>
    <w:rsid w:val="66A05265"/>
    <w:rsid w:val="66A575B3"/>
    <w:rsid w:val="66B47843"/>
    <w:rsid w:val="66B73167"/>
    <w:rsid w:val="66BB0B84"/>
    <w:rsid w:val="66C1772D"/>
    <w:rsid w:val="66C67529"/>
    <w:rsid w:val="66C92DE4"/>
    <w:rsid w:val="66C94123"/>
    <w:rsid w:val="66CA526B"/>
    <w:rsid w:val="66CD5476"/>
    <w:rsid w:val="66E53E53"/>
    <w:rsid w:val="66F35CB5"/>
    <w:rsid w:val="670342D9"/>
    <w:rsid w:val="67201575"/>
    <w:rsid w:val="672020EF"/>
    <w:rsid w:val="67204E8B"/>
    <w:rsid w:val="67280542"/>
    <w:rsid w:val="67310E46"/>
    <w:rsid w:val="67381624"/>
    <w:rsid w:val="6752344C"/>
    <w:rsid w:val="676A3084"/>
    <w:rsid w:val="676D025A"/>
    <w:rsid w:val="67795F9E"/>
    <w:rsid w:val="677A48E2"/>
    <w:rsid w:val="677E60F9"/>
    <w:rsid w:val="67A14064"/>
    <w:rsid w:val="67AE2497"/>
    <w:rsid w:val="67B93D6E"/>
    <w:rsid w:val="67C1041C"/>
    <w:rsid w:val="67C24194"/>
    <w:rsid w:val="67C73559"/>
    <w:rsid w:val="67C95523"/>
    <w:rsid w:val="67CC1F4B"/>
    <w:rsid w:val="67D30150"/>
    <w:rsid w:val="67D87514"/>
    <w:rsid w:val="680943CE"/>
    <w:rsid w:val="68120201"/>
    <w:rsid w:val="6829598F"/>
    <w:rsid w:val="682D5AB2"/>
    <w:rsid w:val="682D7860"/>
    <w:rsid w:val="6837248C"/>
    <w:rsid w:val="68464AB7"/>
    <w:rsid w:val="684B418A"/>
    <w:rsid w:val="684E3BA9"/>
    <w:rsid w:val="6853303E"/>
    <w:rsid w:val="686C32E3"/>
    <w:rsid w:val="6875280B"/>
    <w:rsid w:val="687F5412"/>
    <w:rsid w:val="68901223"/>
    <w:rsid w:val="68B41D2F"/>
    <w:rsid w:val="68CD1043"/>
    <w:rsid w:val="68D46CA1"/>
    <w:rsid w:val="68F02175"/>
    <w:rsid w:val="690600B1"/>
    <w:rsid w:val="690E58E3"/>
    <w:rsid w:val="691675E7"/>
    <w:rsid w:val="691B1DAE"/>
    <w:rsid w:val="692A1FF1"/>
    <w:rsid w:val="693269AA"/>
    <w:rsid w:val="69366BE8"/>
    <w:rsid w:val="6940006C"/>
    <w:rsid w:val="69450365"/>
    <w:rsid w:val="6955695C"/>
    <w:rsid w:val="69766FE4"/>
    <w:rsid w:val="69794AC7"/>
    <w:rsid w:val="69824A82"/>
    <w:rsid w:val="69837DFF"/>
    <w:rsid w:val="698A2A90"/>
    <w:rsid w:val="6994390F"/>
    <w:rsid w:val="699D6C67"/>
    <w:rsid w:val="69BD45E3"/>
    <w:rsid w:val="69BF6F51"/>
    <w:rsid w:val="69C5055B"/>
    <w:rsid w:val="69CF404C"/>
    <w:rsid w:val="69D1246D"/>
    <w:rsid w:val="69DB43A3"/>
    <w:rsid w:val="69DC4A99"/>
    <w:rsid w:val="69DD2F4A"/>
    <w:rsid w:val="69DD755C"/>
    <w:rsid w:val="69E647D2"/>
    <w:rsid w:val="69EF4FC9"/>
    <w:rsid w:val="69F73D77"/>
    <w:rsid w:val="6A002D52"/>
    <w:rsid w:val="6A057564"/>
    <w:rsid w:val="6A0C433E"/>
    <w:rsid w:val="6A141877"/>
    <w:rsid w:val="6A152BF7"/>
    <w:rsid w:val="6A2F4413"/>
    <w:rsid w:val="6A36731F"/>
    <w:rsid w:val="6A414355"/>
    <w:rsid w:val="6A4D41E9"/>
    <w:rsid w:val="6A523D92"/>
    <w:rsid w:val="6A57544B"/>
    <w:rsid w:val="6A5B4E1E"/>
    <w:rsid w:val="6A635D6D"/>
    <w:rsid w:val="6A6B7915"/>
    <w:rsid w:val="6A6E6CFE"/>
    <w:rsid w:val="6A721203"/>
    <w:rsid w:val="6A7E25F5"/>
    <w:rsid w:val="6A805BF9"/>
    <w:rsid w:val="6A863C0A"/>
    <w:rsid w:val="6A8A4024"/>
    <w:rsid w:val="6A94006A"/>
    <w:rsid w:val="6A9E7E16"/>
    <w:rsid w:val="6A9F256B"/>
    <w:rsid w:val="6AAA537B"/>
    <w:rsid w:val="6AC241B0"/>
    <w:rsid w:val="6ACD0E86"/>
    <w:rsid w:val="6AD40E54"/>
    <w:rsid w:val="6AF1726A"/>
    <w:rsid w:val="6AFA2A24"/>
    <w:rsid w:val="6B08210E"/>
    <w:rsid w:val="6B097561"/>
    <w:rsid w:val="6B29437B"/>
    <w:rsid w:val="6B2E6DA4"/>
    <w:rsid w:val="6B324E83"/>
    <w:rsid w:val="6B3C37D2"/>
    <w:rsid w:val="6B502858"/>
    <w:rsid w:val="6B5363CE"/>
    <w:rsid w:val="6B574BF4"/>
    <w:rsid w:val="6B6466DD"/>
    <w:rsid w:val="6B6E08BB"/>
    <w:rsid w:val="6B706342"/>
    <w:rsid w:val="6B7457A6"/>
    <w:rsid w:val="6B751BCA"/>
    <w:rsid w:val="6B841E8D"/>
    <w:rsid w:val="6BA82257"/>
    <w:rsid w:val="6BB107A8"/>
    <w:rsid w:val="6BC24763"/>
    <w:rsid w:val="6BC32054"/>
    <w:rsid w:val="6BCC55E2"/>
    <w:rsid w:val="6BEC358E"/>
    <w:rsid w:val="6BF123BD"/>
    <w:rsid w:val="6BF91484"/>
    <w:rsid w:val="6C023AA8"/>
    <w:rsid w:val="6C0A19D0"/>
    <w:rsid w:val="6C0E36D4"/>
    <w:rsid w:val="6C101972"/>
    <w:rsid w:val="6C110C0F"/>
    <w:rsid w:val="6C1827C2"/>
    <w:rsid w:val="6C4B6506"/>
    <w:rsid w:val="6C55317F"/>
    <w:rsid w:val="6C5A499B"/>
    <w:rsid w:val="6C614BCD"/>
    <w:rsid w:val="6C7F6FA8"/>
    <w:rsid w:val="6C8D4D71"/>
    <w:rsid w:val="6C8E6E97"/>
    <w:rsid w:val="6C9A56E0"/>
    <w:rsid w:val="6CB26586"/>
    <w:rsid w:val="6CB735FA"/>
    <w:rsid w:val="6CC50E69"/>
    <w:rsid w:val="6CCF2537"/>
    <w:rsid w:val="6CCF5389"/>
    <w:rsid w:val="6CD56718"/>
    <w:rsid w:val="6CF81F8B"/>
    <w:rsid w:val="6D07276D"/>
    <w:rsid w:val="6D091704"/>
    <w:rsid w:val="6D0A63C2"/>
    <w:rsid w:val="6D10066D"/>
    <w:rsid w:val="6D1C60F5"/>
    <w:rsid w:val="6D2B0D47"/>
    <w:rsid w:val="6D341690"/>
    <w:rsid w:val="6D597BED"/>
    <w:rsid w:val="6D6342D9"/>
    <w:rsid w:val="6D750AAF"/>
    <w:rsid w:val="6D7D3037"/>
    <w:rsid w:val="6D8F4B19"/>
    <w:rsid w:val="6D961910"/>
    <w:rsid w:val="6D9E0144"/>
    <w:rsid w:val="6DC066D9"/>
    <w:rsid w:val="6DC7308F"/>
    <w:rsid w:val="6DDD52AD"/>
    <w:rsid w:val="6DDD5884"/>
    <w:rsid w:val="6DDD7632"/>
    <w:rsid w:val="6DF5308D"/>
    <w:rsid w:val="6E05172A"/>
    <w:rsid w:val="6E1A6AD8"/>
    <w:rsid w:val="6E203358"/>
    <w:rsid w:val="6E337B9A"/>
    <w:rsid w:val="6E467DF4"/>
    <w:rsid w:val="6E5F44EB"/>
    <w:rsid w:val="6E6561BB"/>
    <w:rsid w:val="6E6E3343"/>
    <w:rsid w:val="6E733BE8"/>
    <w:rsid w:val="6E7F2489"/>
    <w:rsid w:val="6E7F693B"/>
    <w:rsid w:val="6E9543B1"/>
    <w:rsid w:val="6E9817AB"/>
    <w:rsid w:val="6E9C3A4B"/>
    <w:rsid w:val="6EC3120D"/>
    <w:rsid w:val="6EC439C2"/>
    <w:rsid w:val="6EC922AC"/>
    <w:rsid w:val="6EE20EBC"/>
    <w:rsid w:val="6EF75F80"/>
    <w:rsid w:val="6EFA4D75"/>
    <w:rsid w:val="6F040549"/>
    <w:rsid w:val="6F0C6E96"/>
    <w:rsid w:val="6F0D3F47"/>
    <w:rsid w:val="6F12155D"/>
    <w:rsid w:val="6F1418F3"/>
    <w:rsid w:val="6F173018"/>
    <w:rsid w:val="6F225677"/>
    <w:rsid w:val="6F3F7779"/>
    <w:rsid w:val="6F4B0F13"/>
    <w:rsid w:val="6F547DC8"/>
    <w:rsid w:val="6F571666"/>
    <w:rsid w:val="6F583AD3"/>
    <w:rsid w:val="6F5B1156"/>
    <w:rsid w:val="6F776FEE"/>
    <w:rsid w:val="6F8306AD"/>
    <w:rsid w:val="6F8561D3"/>
    <w:rsid w:val="6F902386"/>
    <w:rsid w:val="6FB76B53"/>
    <w:rsid w:val="6FC211D5"/>
    <w:rsid w:val="6FC34F4E"/>
    <w:rsid w:val="6FCA3B9E"/>
    <w:rsid w:val="6FD44A65"/>
    <w:rsid w:val="6FD535CB"/>
    <w:rsid w:val="6FD85A48"/>
    <w:rsid w:val="6FE25F7F"/>
    <w:rsid w:val="6FEE1FCA"/>
    <w:rsid w:val="6FF27677"/>
    <w:rsid w:val="6FFE580B"/>
    <w:rsid w:val="7019691C"/>
    <w:rsid w:val="70293003"/>
    <w:rsid w:val="70310109"/>
    <w:rsid w:val="7037762A"/>
    <w:rsid w:val="70433FC3"/>
    <w:rsid w:val="704F1569"/>
    <w:rsid w:val="705049FA"/>
    <w:rsid w:val="705B6F34"/>
    <w:rsid w:val="70657DB3"/>
    <w:rsid w:val="70691B77"/>
    <w:rsid w:val="706B47A9"/>
    <w:rsid w:val="706C1141"/>
    <w:rsid w:val="70717761"/>
    <w:rsid w:val="7073427E"/>
    <w:rsid w:val="7084648B"/>
    <w:rsid w:val="708E10B8"/>
    <w:rsid w:val="708F6BDE"/>
    <w:rsid w:val="70A2421E"/>
    <w:rsid w:val="70A63EDB"/>
    <w:rsid w:val="70AD3C34"/>
    <w:rsid w:val="70B37562"/>
    <w:rsid w:val="70C34349"/>
    <w:rsid w:val="70CB40BA"/>
    <w:rsid w:val="70D34D1C"/>
    <w:rsid w:val="70E9298E"/>
    <w:rsid w:val="70F05815"/>
    <w:rsid w:val="70F4421A"/>
    <w:rsid w:val="70F834E8"/>
    <w:rsid w:val="70F84783"/>
    <w:rsid w:val="711C4915"/>
    <w:rsid w:val="71237A52"/>
    <w:rsid w:val="71252330"/>
    <w:rsid w:val="71362A50"/>
    <w:rsid w:val="71381023"/>
    <w:rsid w:val="71452751"/>
    <w:rsid w:val="715E6CDC"/>
    <w:rsid w:val="716B489A"/>
    <w:rsid w:val="71701BB7"/>
    <w:rsid w:val="71707F9F"/>
    <w:rsid w:val="7174769D"/>
    <w:rsid w:val="717E112C"/>
    <w:rsid w:val="71A1306D"/>
    <w:rsid w:val="71A33C49"/>
    <w:rsid w:val="71B66716"/>
    <w:rsid w:val="71B845AD"/>
    <w:rsid w:val="71CE623B"/>
    <w:rsid w:val="71D64AC4"/>
    <w:rsid w:val="71DB286F"/>
    <w:rsid w:val="71DE606F"/>
    <w:rsid w:val="72165809"/>
    <w:rsid w:val="72225F5B"/>
    <w:rsid w:val="722D5303"/>
    <w:rsid w:val="723B3735"/>
    <w:rsid w:val="723E79C0"/>
    <w:rsid w:val="724B3804"/>
    <w:rsid w:val="72621826"/>
    <w:rsid w:val="7270161E"/>
    <w:rsid w:val="7270475E"/>
    <w:rsid w:val="727B4FCE"/>
    <w:rsid w:val="7289422C"/>
    <w:rsid w:val="72943CE9"/>
    <w:rsid w:val="72965F01"/>
    <w:rsid w:val="72A36E2B"/>
    <w:rsid w:val="72A830A7"/>
    <w:rsid w:val="72B066F3"/>
    <w:rsid w:val="72B57194"/>
    <w:rsid w:val="72B73B47"/>
    <w:rsid w:val="72BF37AA"/>
    <w:rsid w:val="72C36E24"/>
    <w:rsid w:val="72D46815"/>
    <w:rsid w:val="72D74F98"/>
    <w:rsid w:val="72DD00D4"/>
    <w:rsid w:val="72E40751"/>
    <w:rsid w:val="72ED672C"/>
    <w:rsid w:val="72F0006C"/>
    <w:rsid w:val="7314216E"/>
    <w:rsid w:val="731735E6"/>
    <w:rsid w:val="731D25DE"/>
    <w:rsid w:val="732031E0"/>
    <w:rsid w:val="73390E5E"/>
    <w:rsid w:val="73430E45"/>
    <w:rsid w:val="734A27AC"/>
    <w:rsid w:val="7351239F"/>
    <w:rsid w:val="73615878"/>
    <w:rsid w:val="7389151C"/>
    <w:rsid w:val="73972979"/>
    <w:rsid w:val="73AA04E9"/>
    <w:rsid w:val="73B726D3"/>
    <w:rsid w:val="73E6120B"/>
    <w:rsid w:val="73FC458A"/>
    <w:rsid w:val="74063ACB"/>
    <w:rsid w:val="740E1636"/>
    <w:rsid w:val="740F2288"/>
    <w:rsid w:val="74220495"/>
    <w:rsid w:val="744C6B36"/>
    <w:rsid w:val="74534AF2"/>
    <w:rsid w:val="74553554"/>
    <w:rsid w:val="74600FBD"/>
    <w:rsid w:val="746E79C9"/>
    <w:rsid w:val="74744A68"/>
    <w:rsid w:val="747B2F53"/>
    <w:rsid w:val="748C0004"/>
    <w:rsid w:val="74A20227"/>
    <w:rsid w:val="74A24637"/>
    <w:rsid w:val="74A470FC"/>
    <w:rsid w:val="74B02D5E"/>
    <w:rsid w:val="74B87DFA"/>
    <w:rsid w:val="74D6127F"/>
    <w:rsid w:val="74E93142"/>
    <w:rsid w:val="74EF2BCC"/>
    <w:rsid w:val="74F205F2"/>
    <w:rsid w:val="750C6A4F"/>
    <w:rsid w:val="750D5593"/>
    <w:rsid w:val="75104791"/>
    <w:rsid w:val="75137DDD"/>
    <w:rsid w:val="751C3441"/>
    <w:rsid w:val="753660E5"/>
    <w:rsid w:val="75431B6A"/>
    <w:rsid w:val="754937FF"/>
    <w:rsid w:val="75660855"/>
    <w:rsid w:val="75671ED7"/>
    <w:rsid w:val="757709DB"/>
    <w:rsid w:val="75A31161"/>
    <w:rsid w:val="75A650F5"/>
    <w:rsid w:val="75B55338"/>
    <w:rsid w:val="75CE45CC"/>
    <w:rsid w:val="75D94B83"/>
    <w:rsid w:val="75E04193"/>
    <w:rsid w:val="75E336A9"/>
    <w:rsid w:val="75EA44A4"/>
    <w:rsid w:val="75EC70D8"/>
    <w:rsid w:val="760342F6"/>
    <w:rsid w:val="76036776"/>
    <w:rsid w:val="7608131E"/>
    <w:rsid w:val="760F2C9B"/>
    <w:rsid w:val="761B163F"/>
    <w:rsid w:val="763C15B6"/>
    <w:rsid w:val="763D210E"/>
    <w:rsid w:val="763F6D05"/>
    <w:rsid w:val="765406AD"/>
    <w:rsid w:val="765608C9"/>
    <w:rsid w:val="765D2592"/>
    <w:rsid w:val="767755A1"/>
    <w:rsid w:val="767B1715"/>
    <w:rsid w:val="768076F4"/>
    <w:rsid w:val="76816FC9"/>
    <w:rsid w:val="76950EBC"/>
    <w:rsid w:val="76A103E7"/>
    <w:rsid w:val="76A93072"/>
    <w:rsid w:val="76A96C4B"/>
    <w:rsid w:val="76C11D6C"/>
    <w:rsid w:val="76D41774"/>
    <w:rsid w:val="76E06A51"/>
    <w:rsid w:val="76EF27A5"/>
    <w:rsid w:val="77000835"/>
    <w:rsid w:val="770519A8"/>
    <w:rsid w:val="770E4D00"/>
    <w:rsid w:val="77131B98"/>
    <w:rsid w:val="7725027B"/>
    <w:rsid w:val="77250C14"/>
    <w:rsid w:val="772B3B04"/>
    <w:rsid w:val="77337BA2"/>
    <w:rsid w:val="77431600"/>
    <w:rsid w:val="7749366F"/>
    <w:rsid w:val="77597EB6"/>
    <w:rsid w:val="775F730A"/>
    <w:rsid w:val="776D3DF2"/>
    <w:rsid w:val="776E1C43"/>
    <w:rsid w:val="77752DF8"/>
    <w:rsid w:val="77B50825"/>
    <w:rsid w:val="77B5517C"/>
    <w:rsid w:val="77CD3C2E"/>
    <w:rsid w:val="77D55B8F"/>
    <w:rsid w:val="77D84F67"/>
    <w:rsid w:val="77E23F4F"/>
    <w:rsid w:val="77EB5041"/>
    <w:rsid w:val="77F02658"/>
    <w:rsid w:val="78061E7B"/>
    <w:rsid w:val="78170512"/>
    <w:rsid w:val="782347DB"/>
    <w:rsid w:val="78250553"/>
    <w:rsid w:val="782D11B6"/>
    <w:rsid w:val="782D2DCE"/>
    <w:rsid w:val="783A362B"/>
    <w:rsid w:val="78570929"/>
    <w:rsid w:val="785A08FF"/>
    <w:rsid w:val="78623556"/>
    <w:rsid w:val="78632AB8"/>
    <w:rsid w:val="78686692"/>
    <w:rsid w:val="786F17CF"/>
    <w:rsid w:val="7890194C"/>
    <w:rsid w:val="78914753"/>
    <w:rsid w:val="789254BD"/>
    <w:rsid w:val="78986F77"/>
    <w:rsid w:val="78C12BFF"/>
    <w:rsid w:val="78C537D8"/>
    <w:rsid w:val="78CC6C21"/>
    <w:rsid w:val="78CF5006"/>
    <w:rsid w:val="78E60874"/>
    <w:rsid w:val="78FD4140"/>
    <w:rsid w:val="790068CB"/>
    <w:rsid w:val="79131A1F"/>
    <w:rsid w:val="79167E9C"/>
    <w:rsid w:val="791D56CF"/>
    <w:rsid w:val="7923019B"/>
    <w:rsid w:val="7927136B"/>
    <w:rsid w:val="792E74DB"/>
    <w:rsid w:val="7936053E"/>
    <w:rsid w:val="793B1E2B"/>
    <w:rsid w:val="79406ADA"/>
    <w:rsid w:val="795B11E6"/>
    <w:rsid w:val="79660E24"/>
    <w:rsid w:val="796B468C"/>
    <w:rsid w:val="796C4DDB"/>
    <w:rsid w:val="796E4E17"/>
    <w:rsid w:val="79766B8D"/>
    <w:rsid w:val="79786DA9"/>
    <w:rsid w:val="797A7A50"/>
    <w:rsid w:val="797F6C94"/>
    <w:rsid w:val="79825532"/>
    <w:rsid w:val="79852A28"/>
    <w:rsid w:val="79863274"/>
    <w:rsid w:val="79905EA0"/>
    <w:rsid w:val="79973330"/>
    <w:rsid w:val="79A922D3"/>
    <w:rsid w:val="79AC25AE"/>
    <w:rsid w:val="79B576B5"/>
    <w:rsid w:val="79BA6C6F"/>
    <w:rsid w:val="79C5247E"/>
    <w:rsid w:val="79D34908"/>
    <w:rsid w:val="79E531A2"/>
    <w:rsid w:val="79FF3026"/>
    <w:rsid w:val="7A0A1DD8"/>
    <w:rsid w:val="7A232871"/>
    <w:rsid w:val="7A433E64"/>
    <w:rsid w:val="7A4869FA"/>
    <w:rsid w:val="7A4D3012"/>
    <w:rsid w:val="7A7107BC"/>
    <w:rsid w:val="7A792DD8"/>
    <w:rsid w:val="7A793CFE"/>
    <w:rsid w:val="7A8349ED"/>
    <w:rsid w:val="7A864AF2"/>
    <w:rsid w:val="7A8F6158"/>
    <w:rsid w:val="7A97325F"/>
    <w:rsid w:val="7AAB59A6"/>
    <w:rsid w:val="7AAC5768"/>
    <w:rsid w:val="7AB14320"/>
    <w:rsid w:val="7AC758F2"/>
    <w:rsid w:val="7AC829AF"/>
    <w:rsid w:val="7AD4000F"/>
    <w:rsid w:val="7AE87E01"/>
    <w:rsid w:val="7AE94A1F"/>
    <w:rsid w:val="7AF21C1E"/>
    <w:rsid w:val="7AF44D2F"/>
    <w:rsid w:val="7AF728B3"/>
    <w:rsid w:val="7AFC6623"/>
    <w:rsid w:val="7B3101D4"/>
    <w:rsid w:val="7B31720F"/>
    <w:rsid w:val="7B362A78"/>
    <w:rsid w:val="7B3B1E3C"/>
    <w:rsid w:val="7B4C6884"/>
    <w:rsid w:val="7B4C7450"/>
    <w:rsid w:val="7B4E6013"/>
    <w:rsid w:val="7B511D94"/>
    <w:rsid w:val="7B51276C"/>
    <w:rsid w:val="7B5611C5"/>
    <w:rsid w:val="7B5B24DE"/>
    <w:rsid w:val="7B86755B"/>
    <w:rsid w:val="7B900E1F"/>
    <w:rsid w:val="7B9A4DB4"/>
    <w:rsid w:val="7B9F026F"/>
    <w:rsid w:val="7BC3285F"/>
    <w:rsid w:val="7BD82BE2"/>
    <w:rsid w:val="7BD95C07"/>
    <w:rsid w:val="7BDE1658"/>
    <w:rsid w:val="7BDF310F"/>
    <w:rsid w:val="7BDF40E7"/>
    <w:rsid w:val="7BE36A89"/>
    <w:rsid w:val="7BF546E1"/>
    <w:rsid w:val="7BF70459"/>
    <w:rsid w:val="7C0170C9"/>
    <w:rsid w:val="7C1814AA"/>
    <w:rsid w:val="7C197CF4"/>
    <w:rsid w:val="7C240B22"/>
    <w:rsid w:val="7C291555"/>
    <w:rsid w:val="7C29438A"/>
    <w:rsid w:val="7C2E1319"/>
    <w:rsid w:val="7C352D2F"/>
    <w:rsid w:val="7C395B0D"/>
    <w:rsid w:val="7C3A1463"/>
    <w:rsid w:val="7C43369E"/>
    <w:rsid w:val="7C71560D"/>
    <w:rsid w:val="7C741101"/>
    <w:rsid w:val="7C790E6E"/>
    <w:rsid w:val="7C792C1C"/>
    <w:rsid w:val="7C7D5445"/>
    <w:rsid w:val="7C8178DB"/>
    <w:rsid w:val="7C837BA3"/>
    <w:rsid w:val="7C8E31B6"/>
    <w:rsid w:val="7CA659DB"/>
    <w:rsid w:val="7CBC3ECA"/>
    <w:rsid w:val="7CC571A4"/>
    <w:rsid w:val="7CCA16C9"/>
    <w:rsid w:val="7CE32254"/>
    <w:rsid w:val="7CE803A7"/>
    <w:rsid w:val="7CEC5AE4"/>
    <w:rsid w:val="7CF14CE5"/>
    <w:rsid w:val="7CF46746"/>
    <w:rsid w:val="7D0D7803"/>
    <w:rsid w:val="7D0F1D0F"/>
    <w:rsid w:val="7D187A0F"/>
    <w:rsid w:val="7D194DCF"/>
    <w:rsid w:val="7D34702B"/>
    <w:rsid w:val="7D373ABA"/>
    <w:rsid w:val="7D3C714E"/>
    <w:rsid w:val="7D5611AF"/>
    <w:rsid w:val="7D66043F"/>
    <w:rsid w:val="7D7A57DC"/>
    <w:rsid w:val="7D7E6657"/>
    <w:rsid w:val="7D851DEF"/>
    <w:rsid w:val="7D906F42"/>
    <w:rsid w:val="7D9A5540"/>
    <w:rsid w:val="7DA64CF0"/>
    <w:rsid w:val="7DAA5057"/>
    <w:rsid w:val="7DC4436B"/>
    <w:rsid w:val="7DC47E0B"/>
    <w:rsid w:val="7DCA6284"/>
    <w:rsid w:val="7DD33880"/>
    <w:rsid w:val="7DE93DD1"/>
    <w:rsid w:val="7DEE2175"/>
    <w:rsid w:val="7DF71CE1"/>
    <w:rsid w:val="7E000F39"/>
    <w:rsid w:val="7E040C0B"/>
    <w:rsid w:val="7E1C41A7"/>
    <w:rsid w:val="7E2739DF"/>
    <w:rsid w:val="7E2968C4"/>
    <w:rsid w:val="7E316423"/>
    <w:rsid w:val="7E413C0D"/>
    <w:rsid w:val="7E4E00D8"/>
    <w:rsid w:val="7E503E50"/>
    <w:rsid w:val="7E6C6F6B"/>
    <w:rsid w:val="7E726A95"/>
    <w:rsid w:val="7E7713DD"/>
    <w:rsid w:val="7E77762F"/>
    <w:rsid w:val="7E7F1020"/>
    <w:rsid w:val="7E827DBC"/>
    <w:rsid w:val="7E97382D"/>
    <w:rsid w:val="7EA342B9"/>
    <w:rsid w:val="7EA34743"/>
    <w:rsid w:val="7EC37EA5"/>
    <w:rsid w:val="7ECB53BA"/>
    <w:rsid w:val="7ED52BDC"/>
    <w:rsid w:val="7EDA196C"/>
    <w:rsid w:val="7EDE49D0"/>
    <w:rsid w:val="7EE051D4"/>
    <w:rsid w:val="7EF42A2E"/>
    <w:rsid w:val="7EF97E9D"/>
    <w:rsid w:val="7F005876"/>
    <w:rsid w:val="7F056392"/>
    <w:rsid w:val="7F0D1D41"/>
    <w:rsid w:val="7F0F1615"/>
    <w:rsid w:val="7F2D7CEE"/>
    <w:rsid w:val="7F3D2102"/>
    <w:rsid w:val="7F914720"/>
    <w:rsid w:val="7F9B734D"/>
    <w:rsid w:val="7FA458B2"/>
    <w:rsid w:val="7FAC50B6"/>
    <w:rsid w:val="7FC6434A"/>
    <w:rsid w:val="7FD53ACD"/>
    <w:rsid w:val="7FD7406F"/>
    <w:rsid w:val="7FEC7BA9"/>
    <w:rsid w:val="7FF32CE5"/>
    <w:rsid w:val="7FFB0761"/>
    <w:rsid w:val="7FFB6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0">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index 5"/>
    <w:basedOn w:val="1"/>
    <w:next w:val="1"/>
    <w:autoRedefine/>
    <w:qFormat/>
    <w:uiPriority w:val="0"/>
    <w:pPr>
      <w:ind w:left="1680"/>
    </w:pPr>
  </w:style>
  <w:style w:type="paragraph" w:styleId="3">
    <w:name w:val="Body Text Indent"/>
    <w:basedOn w:val="1"/>
    <w:autoRedefine/>
    <w:qFormat/>
    <w:uiPriority w:val="0"/>
    <w:pPr>
      <w:spacing w:after="120"/>
      <w:ind w:left="420" w:leftChars="200"/>
    </w:pPr>
  </w:style>
  <w:style w:type="paragraph" w:styleId="4">
    <w:name w:val="Plain Text"/>
    <w:basedOn w:val="1"/>
    <w:autoRedefine/>
    <w:qFormat/>
    <w:uiPriority w:val="0"/>
    <w:rPr>
      <w:rFonts w:ascii="Courier New" w:hAnsi="Courier New"/>
    </w:rPr>
  </w:style>
  <w:style w:type="paragraph" w:styleId="5">
    <w:name w:val="Balloon Text"/>
    <w:basedOn w:val="1"/>
    <w:link w:val="24"/>
    <w:autoRedefine/>
    <w:semiHidden/>
    <w:unhideWhenUsed/>
    <w:qFormat/>
    <w:uiPriority w:val="99"/>
    <w:rPr>
      <w:sz w:val="18"/>
      <w:szCs w:val="18"/>
    </w:rPr>
  </w:style>
  <w:style w:type="paragraph" w:styleId="6">
    <w:name w:val="footer"/>
    <w:basedOn w:val="1"/>
    <w:next w:val="2"/>
    <w:link w:val="22"/>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2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4"/>
    <w:basedOn w:val="1"/>
    <w:next w:val="1"/>
    <w:autoRedefine/>
    <w:unhideWhenUsed/>
    <w:qFormat/>
    <w:uiPriority w:val="39"/>
    <w:pPr>
      <w:ind w:left="1260" w:leftChars="600"/>
    </w:pPr>
    <w:rPr>
      <w:rFonts w:asciiTheme="minorHAnsi" w:hAnsiTheme="minorHAnsi" w:eastAsiaTheme="minorEastAsia"/>
    </w:rPr>
  </w:style>
  <w:style w:type="paragraph" w:styleId="9">
    <w:name w:val="Normal (Web)"/>
    <w:basedOn w:val="1"/>
    <w:autoRedefine/>
    <w:qFormat/>
    <w:uiPriority w:val="99"/>
    <w:pPr>
      <w:spacing w:beforeAutospacing="1" w:afterAutospacing="1"/>
      <w:jc w:val="left"/>
    </w:pPr>
    <w:rPr>
      <w:rFonts w:cs="Times New Roman"/>
      <w:kern w:val="0"/>
    </w:rPr>
  </w:style>
  <w:style w:type="paragraph" w:styleId="10">
    <w:name w:val="Body Text First Indent 2"/>
    <w:basedOn w:val="3"/>
    <w:next w:val="1"/>
    <w:autoRedefine/>
    <w:qFormat/>
    <w:uiPriority w:val="0"/>
    <w:pPr>
      <w:ind w:firstLine="420" w:firstLineChars="200"/>
    </w:p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
    <w:name w:val="Light List Accent 5"/>
    <w:basedOn w:val="11"/>
    <w:autoRedefine/>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14">
    <w:name w:val="Light Grid Accent 5"/>
    <w:basedOn w:val="11"/>
    <w:autoRedefine/>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15">
    <w:name w:val="Medium Shading 1 Accent 5"/>
    <w:basedOn w:val="11"/>
    <w:autoRedefine/>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16">
    <w:name w:val="Medium List 2 Accent 5"/>
    <w:basedOn w:val="11"/>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Accent 5"/>
    <w:basedOn w:val="11"/>
    <w:autoRedefine/>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8">
    <w:name w:val="Medium Grid 2 Accent 5"/>
    <w:basedOn w:val="11"/>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9">
    <w:name w:val="Medium Grid 3 Accent 5"/>
    <w:basedOn w:val="11"/>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character" w:customStyle="1" w:styleId="21">
    <w:name w:val="页眉 Char"/>
    <w:basedOn w:val="20"/>
    <w:link w:val="7"/>
    <w:autoRedefine/>
    <w:semiHidden/>
    <w:qFormat/>
    <w:uiPriority w:val="99"/>
    <w:rPr>
      <w:sz w:val="18"/>
      <w:szCs w:val="18"/>
    </w:rPr>
  </w:style>
  <w:style w:type="character" w:customStyle="1" w:styleId="22">
    <w:name w:val="页脚 Char"/>
    <w:basedOn w:val="20"/>
    <w:link w:val="6"/>
    <w:autoRedefine/>
    <w:semiHidden/>
    <w:qFormat/>
    <w:uiPriority w:val="99"/>
    <w:rPr>
      <w:sz w:val="18"/>
      <w:szCs w:val="18"/>
    </w:rPr>
  </w:style>
  <w:style w:type="paragraph" w:customStyle="1" w:styleId="23">
    <w:name w:val="Normal_31"/>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24">
    <w:name w:val="批注框文本 Char"/>
    <w:basedOn w:val="20"/>
    <w:link w:val="5"/>
    <w:autoRedefine/>
    <w:semiHidden/>
    <w:qFormat/>
    <w:uiPriority w:val="99"/>
    <w:rPr>
      <w:kern w:val="2"/>
      <w:sz w:val="18"/>
      <w:szCs w:val="18"/>
    </w:rPr>
  </w:style>
  <w:style w:type="table" w:customStyle="1" w:styleId="25">
    <w:name w:val="浅色底纹 - 强调文字颜色 11"/>
    <w:basedOn w:val="11"/>
    <w:autoRedefine/>
    <w:qFormat/>
    <w:uiPriority w:val="60"/>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26">
    <w:name w:val="浅色网格 - 强调文字颜色 11"/>
    <w:basedOn w:val="11"/>
    <w:autoRedefine/>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character" w:customStyle="1" w:styleId="27">
    <w:name w:val="font11"/>
    <w:basedOn w:val="20"/>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1" Type="http://schemas.openxmlformats.org/officeDocument/2006/relationships/fontTable" Target="fontTable.xml"/><Relationship Id="rId70" Type="http://schemas.openxmlformats.org/officeDocument/2006/relationships/customXml" Target="../customXml/item2.xml"/><Relationship Id="rId7" Type="http://schemas.openxmlformats.org/officeDocument/2006/relationships/chart" Target="charts/chart1.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chart" Target="charts/chart61.xml"/><Relationship Id="rId66" Type="http://schemas.openxmlformats.org/officeDocument/2006/relationships/chart" Target="charts/chart60.xml"/><Relationship Id="rId65" Type="http://schemas.openxmlformats.org/officeDocument/2006/relationships/chart" Target="charts/chart59.xml"/><Relationship Id="rId64" Type="http://schemas.openxmlformats.org/officeDocument/2006/relationships/chart" Target="charts/chart58.xml"/><Relationship Id="rId63" Type="http://schemas.openxmlformats.org/officeDocument/2006/relationships/chart" Target="charts/chart57.xml"/><Relationship Id="rId62" Type="http://schemas.openxmlformats.org/officeDocument/2006/relationships/chart" Target="charts/chart56.xml"/><Relationship Id="rId61" Type="http://schemas.openxmlformats.org/officeDocument/2006/relationships/chart" Target="charts/chart55.xml"/><Relationship Id="rId60" Type="http://schemas.openxmlformats.org/officeDocument/2006/relationships/chart" Target="charts/chart54.xml"/><Relationship Id="rId6" Type="http://schemas.openxmlformats.org/officeDocument/2006/relationships/image" Target="media/image1.png"/><Relationship Id="rId59" Type="http://schemas.openxmlformats.org/officeDocument/2006/relationships/chart" Target="charts/chart53.xml"/><Relationship Id="rId58" Type="http://schemas.openxmlformats.org/officeDocument/2006/relationships/chart" Target="charts/chart52.xml"/><Relationship Id="rId57" Type="http://schemas.openxmlformats.org/officeDocument/2006/relationships/chart" Target="charts/chart51.xml"/><Relationship Id="rId56" Type="http://schemas.openxmlformats.org/officeDocument/2006/relationships/chart" Target="charts/chart50.xml"/><Relationship Id="rId55" Type="http://schemas.openxmlformats.org/officeDocument/2006/relationships/chart" Target="charts/chart49.xml"/><Relationship Id="rId54" Type="http://schemas.openxmlformats.org/officeDocument/2006/relationships/chart" Target="charts/chart48.xml"/><Relationship Id="rId53" Type="http://schemas.openxmlformats.org/officeDocument/2006/relationships/chart" Target="charts/chart47.xml"/><Relationship Id="rId52" Type="http://schemas.openxmlformats.org/officeDocument/2006/relationships/chart" Target="charts/chart46.xml"/><Relationship Id="rId51" Type="http://schemas.openxmlformats.org/officeDocument/2006/relationships/chart" Target="charts/chart45.xml"/><Relationship Id="rId50" Type="http://schemas.openxmlformats.org/officeDocument/2006/relationships/chart" Target="charts/chart44.xml"/><Relationship Id="rId5" Type="http://schemas.openxmlformats.org/officeDocument/2006/relationships/theme" Target="theme/theme1.xml"/><Relationship Id="rId49" Type="http://schemas.openxmlformats.org/officeDocument/2006/relationships/chart" Target="charts/chart43.xml"/><Relationship Id="rId48" Type="http://schemas.openxmlformats.org/officeDocument/2006/relationships/chart" Target="charts/chart42.xml"/><Relationship Id="rId47" Type="http://schemas.openxmlformats.org/officeDocument/2006/relationships/chart" Target="charts/chart41.xml"/><Relationship Id="rId46" Type="http://schemas.openxmlformats.org/officeDocument/2006/relationships/chart" Target="charts/chart40.xml"/><Relationship Id="rId45" Type="http://schemas.openxmlformats.org/officeDocument/2006/relationships/chart" Target="charts/chart39.xml"/><Relationship Id="rId44" Type="http://schemas.openxmlformats.org/officeDocument/2006/relationships/chart" Target="charts/chart38.xml"/><Relationship Id="rId43" Type="http://schemas.openxmlformats.org/officeDocument/2006/relationships/chart" Target="charts/chart37.xml"/><Relationship Id="rId42" Type="http://schemas.openxmlformats.org/officeDocument/2006/relationships/chart" Target="charts/chart36.xml"/><Relationship Id="rId41" Type="http://schemas.openxmlformats.org/officeDocument/2006/relationships/chart" Target="charts/chart35.xml"/><Relationship Id="rId40" Type="http://schemas.openxmlformats.org/officeDocument/2006/relationships/chart" Target="charts/chart34.xml"/><Relationship Id="rId4" Type="http://schemas.openxmlformats.org/officeDocument/2006/relationships/footer" Target="footer2.xml"/><Relationship Id="rId39" Type="http://schemas.openxmlformats.org/officeDocument/2006/relationships/chart" Target="charts/chart33.xml"/><Relationship Id="rId38" Type="http://schemas.openxmlformats.org/officeDocument/2006/relationships/chart" Target="charts/chart32.xml"/><Relationship Id="rId37" Type="http://schemas.openxmlformats.org/officeDocument/2006/relationships/chart" Target="charts/chart31.xml"/><Relationship Id="rId36" Type="http://schemas.openxmlformats.org/officeDocument/2006/relationships/chart" Target="charts/chart30.xml"/><Relationship Id="rId35" Type="http://schemas.openxmlformats.org/officeDocument/2006/relationships/chart" Target="charts/chart29.xml"/><Relationship Id="rId34" Type="http://schemas.openxmlformats.org/officeDocument/2006/relationships/chart" Target="charts/chart28.xml"/><Relationship Id="rId33" Type="http://schemas.openxmlformats.org/officeDocument/2006/relationships/chart" Target="charts/chart27.xml"/><Relationship Id="rId32" Type="http://schemas.openxmlformats.org/officeDocument/2006/relationships/chart" Target="charts/chart26.xml"/><Relationship Id="rId31" Type="http://schemas.openxmlformats.org/officeDocument/2006/relationships/chart" Target="charts/chart25.xml"/><Relationship Id="rId30" Type="http://schemas.openxmlformats.org/officeDocument/2006/relationships/chart" Target="charts/chart24.xml"/><Relationship Id="rId3" Type="http://schemas.openxmlformats.org/officeDocument/2006/relationships/footer" Target="footer1.xml"/><Relationship Id="rId29" Type="http://schemas.openxmlformats.org/officeDocument/2006/relationships/chart" Target="charts/chart23.xml"/><Relationship Id="rId28" Type="http://schemas.openxmlformats.org/officeDocument/2006/relationships/chart" Target="charts/chart22.xml"/><Relationship Id="rId27" Type="http://schemas.openxmlformats.org/officeDocument/2006/relationships/chart" Target="charts/chart21.xml"/><Relationship Id="rId26" Type="http://schemas.openxmlformats.org/officeDocument/2006/relationships/chart" Target="charts/chart20.xml"/><Relationship Id="rId25" Type="http://schemas.openxmlformats.org/officeDocument/2006/relationships/chart" Target="charts/chart19.xml"/><Relationship Id="rId24" Type="http://schemas.openxmlformats.org/officeDocument/2006/relationships/chart" Target="charts/chart18.xml"/><Relationship Id="rId23" Type="http://schemas.openxmlformats.org/officeDocument/2006/relationships/chart" Target="charts/chart17.xml"/><Relationship Id="rId22" Type="http://schemas.openxmlformats.org/officeDocument/2006/relationships/chart" Target="charts/chart16.xml"/><Relationship Id="rId21" Type="http://schemas.openxmlformats.org/officeDocument/2006/relationships/chart" Target="charts/chart15.xml"/><Relationship Id="rId20" Type="http://schemas.openxmlformats.org/officeDocument/2006/relationships/chart" Target="charts/chart14.xml"/><Relationship Id="rId2" Type="http://schemas.openxmlformats.org/officeDocument/2006/relationships/settings" Target="settings.xml"/><Relationship Id="rId19" Type="http://schemas.openxmlformats.org/officeDocument/2006/relationships/chart" Target="charts/chart13.xml"/><Relationship Id="rId18" Type="http://schemas.openxmlformats.org/officeDocument/2006/relationships/chart" Target="charts/chart12.xml"/><Relationship Id="rId17" Type="http://schemas.openxmlformats.org/officeDocument/2006/relationships/chart" Target="charts/chart11.xml"/><Relationship Id="rId16" Type="http://schemas.openxmlformats.org/officeDocument/2006/relationships/chart" Target="charts/chart10.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1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12.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package" Target="../embeddings/Workbook15.xlsx"/></Relationships>
</file>

<file path=word/charts/_rels/chart13.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package" Target="../embeddings/Workbook16.xlsx"/></Relationships>
</file>

<file path=word/charts/_rels/chart1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15.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16.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0.xlsx"/></Relationships>
</file>

<file path=word/charts/_rels/chart17.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18.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package" Target="../embeddings/Workbook17.xlsx"/></Relationships>
</file>

<file path=word/charts/_rels/chart19.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package" Target="../embeddings/Workbook12.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0.xml.rels><?xml version="1.0" encoding="UTF-8" standalone="yes"?>
<Relationships xmlns="http://schemas.openxmlformats.org/package/2006/relationships"><Relationship Id="rId3" Type="http://schemas.microsoft.com/office/2011/relationships/chartColorStyle" Target="colors45.xml"/><Relationship Id="rId2" Type="http://schemas.microsoft.com/office/2011/relationships/chartStyle" Target="style45.xml"/><Relationship Id="rId1" Type="http://schemas.openxmlformats.org/officeDocument/2006/relationships/package" Target="../embeddings/Workbook45.xlsx"/></Relationships>
</file>

<file path=word/charts/_rels/chart21.xml.rels><?xml version="1.0" encoding="UTF-8" standalone="yes"?>
<Relationships xmlns="http://schemas.openxmlformats.org/package/2006/relationships"><Relationship Id="rId3" Type="http://schemas.microsoft.com/office/2011/relationships/chartColorStyle" Target="colors39.xml"/><Relationship Id="rId2" Type="http://schemas.microsoft.com/office/2011/relationships/chartStyle" Target="style39.xml"/><Relationship Id="rId1" Type="http://schemas.openxmlformats.org/officeDocument/2006/relationships/package" Target="../embeddings/Workbook39.xlsx"/></Relationships>
</file>

<file path=word/charts/_rels/chart22.xml.rels><?xml version="1.0" encoding="UTF-8" standalone="yes"?>
<Relationships xmlns="http://schemas.openxmlformats.org/package/2006/relationships"><Relationship Id="rId3" Type="http://schemas.microsoft.com/office/2011/relationships/chartColorStyle" Target="colors40.xml"/><Relationship Id="rId2" Type="http://schemas.microsoft.com/office/2011/relationships/chartStyle" Target="style40.xml"/><Relationship Id="rId1" Type="http://schemas.openxmlformats.org/officeDocument/2006/relationships/package" Target="../embeddings/Workbook40.xlsx"/></Relationships>
</file>

<file path=word/charts/_rels/chart23.xml.rels><?xml version="1.0" encoding="UTF-8" standalone="yes"?>
<Relationships xmlns="http://schemas.openxmlformats.org/package/2006/relationships"><Relationship Id="rId1" Type="http://schemas.openxmlformats.org/officeDocument/2006/relationships/oleObject" Target="../embeddings/oleObject11.bin"/></Relationships>
</file>

<file path=word/charts/_rels/chart24.xml.rels><?xml version="1.0" encoding="UTF-8" standalone="yes"?>
<Relationships xmlns="http://schemas.openxmlformats.org/package/2006/relationships"><Relationship Id="rId3" Type="http://schemas.microsoft.com/office/2011/relationships/chartColorStyle" Target="colors41.xml"/><Relationship Id="rId2" Type="http://schemas.microsoft.com/office/2011/relationships/chartStyle" Target="style41.xml"/><Relationship Id="rId1" Type="http://schemas.openxmlformats.org/officeDocument/2006/relationships/package" Target="../embeddings/Workbook41.xlsx"/></Relationships>
</file>

<file path=word/charts/_rels/chart25.xml.rels><?xml version="1.0" encoding="UTF-8" standalone="yes"?>
<Relationships xmlns="http://schemas.openxmlformats.org/package/2006/relationships"><Relationship Id="rId3" Type="http://schemas.microsoft.com/office/2011/relationships/chartColorStyle" Target="colors46.xml"/><Relationship Id="rId2" Type="http://schemas.microsoft.com/office/2011/relationships/chartStyle" Target="style46.xml"/><Relationship Id="rId1" Type="http://schemas.openxmlformats.org/officeDocument/2006/relationships/package" Target="../embeddings/Workbook46.xlsx"/></Relationships>
</file>

<file path=word/charts/_rels/chart26.xml.rels><?xml version="1.0" encoding="UTF-8" standalone="yes"?>
<Relationships xmlns="http://schemas.openxmlformats.org/package/2006/relationships"><Relationship Id="rId3" Type="http://schemas.microsoft.com/office/2011/relationships/chartColorStyle" Target="colors48.xml"/><Relationship Id="rId2" Type="http://schemas.microsoft.com/office/2011/relationships/chartStyle" Target="style48.xml"/><Relationship Id="rId1" Type="http://schemas.openxmlformats.org/officeDocument/2006/relationships/package" Target="../embeddings/Workbook48.xlsx"/></Relationships>
</file>

<file path=word/charts/_rels/chart27.xml.rels><?xml version="1.0" encoding="UTF-8" standalone="yes"?>
<Relationships xmlns="http://schemas.openxmlformats.org/package/2006/relationships"><Relationship Id="rId3" Type="http://schemas.microsoft.com/office/2011/relationships/chartColorStyle" Target="colors47.xml"/><Relationship Id="rId2" Type="http://schemas.microsoft.com/office/2011/relationships/chartStyle" Target="style47.xml"/><Relationship Id="rId1" Type="http://schemas.openxmlformats.org/officeDocument/2006/relationships/package" Target="../embeddings/Workbook47.xlsx"/></Relationships>
</file>

<file path=word/charts/_rels/chart28.xml.rels><?xml version="1.0" encoding="UTF-8" standalone="yes"?>
<Relationships xmlns="http://schemas.openxmlformats.org/package/2006/relationships"><Relationship Id="rId3" Type="http://schemas.microsoft.com/office/2011/relationships/chartColorStyle" Target="colors49.xml"/><Relationship Id="rId2" Type="http://schemas.microsoft.com/office/2011/relationships/chartStyle" Target="style49.xml"/><Relationship Id="rId1" Type="http://schemas.openxmlformats.org/officeDocument/2006/relationships/package" Target="../embeddings/Workbook49.xlsx"/></Relationships>
</file>

<file path=word/charts/_rels/chart29.xml.rels><?xml version="1.0" encoding="UTF-8" standalone="yes"?>
<Relationships xmlns="http://schemas.openxmlformats.org/package/2006/relationships"><Relationship Id="rId3" Type="http://schemas.microsoft.com/office/2011/relationships/chartColorStyle" Target="colors42.xml"/><Relationship Id="rId2" Type="http://schemas.microsoft.com/office/2011/relationships/chartStyle" Target="style42.xml"/><Relationship Id="rId1" Type="http://schemas.openxmlformats.org/officeDocument/2006/relationships/package" Target="../embeddings/Workbook4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0.xml.rels><?xml version="1.0" encoding="UTF-8" standalone="yes"?>
<Relationships xmlns="http://schemas.openxmlformats.org/package/2006/relationships"><Relationship Id="rId3" Type="http://schemas.microsoft.com/office/2011/relationships/chartColorStyle" Target="colors36.xml"/><Relationship Id="rId2" Type="http://schemas.microsoft.com/office/2011/relationships/chartStyle" Target="style36.xml"/><Relationship Id="rId1" Type="http://schemas.openxmlformats.org/officeDocument/2006/relationships/package" Target="../embeddings/Workbook36.xlsx"/></Relationships>
</file>

<file path=word/charts/_rels/chart31.xml.rels><?xml version="1.0" encoding="UTF-8" standalone="yes"?>
<Relationships xmlns="http://schemas.openxmlformats.org/package/2006/relationships"><Relationship Id="rId3" Type="http://schemas.microsoft.com/office/2011/relationships/chartColorStyle" Target="colors43.xml"/><Relationship Id="rId2" Type="http://schemas.microsoft.com/office/2011/relationships/chartStyle" Target="style43.xml"/><Relationship Id="rId1" Type="http://schemas.openxmlformats.org/officeDocument/2006/relationships/package" Target="../embeddings/Workbook43.xlsx"/></Relationships>
</file>

<file path=word/charts/_rels/chart32.xml.rels><?xml version="1.0" encoding="UTF-8" standalone="yes"?>
<Relationships xmlns="http://schemas.openxmlformats.org/package/2006/relationships"><Relationship Id="rId3" Type="http://schemas.microsoft.com/office/2011/relationships/chartColorStyle" Target="colors44.xml"/><Relationship Id="rId2" Type="http://schemas.microsoft.com/office/2011/relationships/chartStyle" Target="style44.xml"/><Relationship Id="rId1" Type="http://schemas.openxmlformats.org/officeDocument/2006/relationships/package" Target="../embeddings/Workbook44.xlsx"/></Relationships>
</file>

<file path=word/charts/_rels/chart33.xml.rels><?xml version="1.0" encoding="UTF-8" standalone="yes"?>
<Relationships xmlns="http://schemas.openxmlformats.org/package/2006/relationships"><Relationship Id="rId3" Type="http://schemas.microsoft.com/office/2011/relationships/chartColorStyle" Target="colors37.xml"/><Relationship Id="rId2" Type="http://schemas.microsoft.com/office/2011/relationships/chartStyle" Target="style37.xml"/><Relationship Id="rId1" Type="http://schemas.openxmlformats.org/officeDocument/2006/relationships/package" Target="../embeddings/Workbook37.xlsx"/></Relationships>
</file>

<file path=word/charts/_rels/chart34.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35.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36.xml.rels><?xml version="1.0" encoding="UTF-8" standalone="yes"?>
<Relationships xmlns="http://schemas.openxmlformats.org/package/2006/relationships"><Relationship Id="rId3" Type="http://schemas.microsoft.com/office/2011/relationships/chartColorStyle" Target="colors38.xml"/><Relationship Id="rId2" Type="http://schemas.microsoft.com/office/2011/relationships/chartStyle" Target="style38.xml"/><Relationship Id="rId1" Type="http://schemas.openxmlformats.org/officeDocument/2006/relationships/package" Target="../embeddings/Workbook38.xlsx"/></Relationships>
</file>

<file path=word/charts/_rels/chart37.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package" Target="../embeddings/Workbook24.xlsx"/></Relationships>
</file>

<file path=word/charts/_rels/chart38.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package" Target="../embeddings/Workbook31.xlsx"/></Relationships>
</file>

<file path=word/charts/_rels/chart39.xml.rels><?xml version="1.0" encoding="UTF-8" standalone="yes"?>
<Relationships xmlns="http://schemas.openxmlformats.org/package/2006/relationships"><Relationship Id="rId3" Type="http://schemas.microsoft.com/office/2011/relationships/chartColorStyle" Target="colors35.xml"/><Relationship Id="rId2" Type="http://schemas.microsoft.com/office/2011/relationships/chartStyle" Target="style35.xml"/><Relationship Id="rId1" Type="http://schemas.openxmlformats.org/officeDocument/2006/relationships/package" Target="../embeddings/Workbook3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0.xml.rels><?xml version="1.0" encoding="UTF-8" standalone="yes"?>
<Relationships xmlns="http://schemas.openxmlformats.org/package/2006/relationships"><Relationship Id="rId3" Type="http://schemas.microsoft.com/office/2011/relationships/chartColorStyle" Target="colors32.xml"/><Relationship Id="rId2" Type="http://schemas.microsoft.com/office/2011/relationships/chartStyle" Target="style32.xml"/><Relationship Id="rId1" Type="http://schemas.openxmlformats.org/officeDocument/2006/relationships/package" Target="../embeddings/Workbook32.xlsx"/></Relationships>
</file>

<file path=word/charts/_rels/chart41.xml.rels><?xml version="1.0" encoding="UTF-8" standalone="yes"?>
<Relationships xmlns="http://schemas.openxmlformats.org/package/2006/relationships"><Relationship Id="rId3" Type="http://schemas.microsoft.com/office/2011/relationships/chartColorStyle" Target="colors33.xml"/><Relationship Id="rId2" Type="http://schemas.microsoft.com/office/2011/relationships/chartStyle" Target="style33.xml"/><Relationship Id="rId1" Type="http://schemas.openxmlformats.org/officeDocument/2006/relationships/package" Target="../embeddings/Workbook33.xlsx"/></Relationships>
</file>

<file path=word/charts/_rels/chart42.xml.rels><?xml version="1.0" encoding="UTF-8" standalone="yes"?>
<Relationships xmlns="http://schemas.openxmlformats.org/package/2006/relationships"><Relationship Id="rId3" Type="http://schemas.microsoft.com/office/2011/relationships/chartColorStyle" Target="colors28.xml"/><Relationship Id="rId2" Type="http://schemas.microsoft.com/office/2011/relationships/chartStyle" Target="style28.xml"/><Relationship Id="rId1" Type="http://schemas.openxmlformats.org/officeDocument/2006/relationships/package" Target="../embeddings/Workbook28.xlsx"/></Relationships>
</file>

<file path=word/charts/_rels/chart43.xml.rels><?xml version="1.0" encoding="UTF-8" standalone="yes"?>
<Relationships xmlns="http://schemas.openxmlformats.org/package/2006/relationships"><Relationship Id="rId3" Type="http://schemas.microsoft.com/office/2011/relationships/chartColorStyle" Target="colors34.xml"/><Relationship Id="rId2" Type="http://schemas.microsoft.com/office/2011/relationships/chartStyle" Target="style34.xml"/><Relationship Id="rId1" Type="http://schemas.openxmlformats.org/officeDocument/2006/relationships/package" Target="../embeddings/Workbook34.xlsx"/></Relationships>
</file>

<file path=word/charts/_rels/chart44.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45.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46.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4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48.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package" Target="../embeddings/Workbook25.xlsx"/></Relationships>
</file>

<file path=word/charts/_rels/chart49.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package" Target="../embeddings/Workbook26.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0.xml.rels><?xml version="1.0" encoding="UTF-8" standalone="yes"?>
<Relationships xmlns="http://schemas.openxmlformats.org/package/2006/relationships"><Relationship Id="rId3" Type="http://schemas.microsoft.com/office/2011/relationships/chartColorStyle" Target="colors30.xml"/><Relationship Id="rId2" Type="http://schemas.microsoft.com/office/2011/relationships/chartStyle" Target="style30.xml"/><Relationship Id="rId1" Type="http://schemas.openxmlformats.org/officeDocument/2006/relationships/package" Target="../embeddings/Workbook30.xlsx"/></Relationships>
</file>

<file path=word/charts/_rels/chart51.xml.rels><?xml version="1.0" encoding="UTF-8" standalone="yes"?>
<Relationships xmlns="http://schemas.openxmlformats.org/package/2006/relationships"><Relationship Id="rId3" Type="http://schemas.microsoft.com/office/2011/relationships/chartColorStyle" Target="colors27.xml"/><Relationship Id="rId2" Type="http://schemas.microsoft.com/office/2011/relationships/chartStyle" Target="style27.xml"/><Relationship Id="rId1" Type="http://schemas.openxmlformats.org/officeDocument/2006/relationships/package" Target="../embeddings/Workbook27.xlsx"/></Relationships>
</file>

<file path=word/charts/_rels/chart52.xml.rels><?xml version="1.0" encoding="UTF-8" standalone="yes"?>
<Relationships xmlns="http://schemas.openxmlformats.org/package/2006/relationships"><Relationship Id="rId3" Type="http://schemas.microsoft.com/office/2011/relationships/chartColorStyle" Target="colors29.xml"/><Relationship Id="rId2" Type="http://schemas.microsoft.com/office/2011/relationships/chartStyle" Target="style29.xml"/><Relationship Id="rId1" Type="http://schemas.openxmlformats.org/officeDocument/2006/relationships/package" Target="../embeddings/Workbook29.xlsx"/></Relationships>
</file>

<file path=word/charts/_rels/chart53.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package" Target="../embeddings/Workbook22.xlsx"/></Relationships>
</file>

<file path=word/charts/_rels/chart54.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package" Target="../embeddings/Workbook19.xlsx"/></Relationships>
</file>

<file path=word/charts/_rels/chart55.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package" Target="../embeddings/Workbook23.xlsx"/></Relationships>
</file>

<file path=word/charts/_rels/chart56.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package" Target="../embeddings/Workbook20.xlsx"/></Relationships>
</file>

<file path=word/charts/_rels/chart57.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package" Target="../embeddings/Workbook21.xlsx"/></Relationships>
</file>

<file path=word/charts/_rels/chart58.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package" Target="../embeddings/Workbook18.xlsx"/></Relationships>
</file>

<file path=word/charts/_rels/chart59.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package" Target="../embeddings/Workbook11.xlsx"/></Relationships>
</file>

<file path=word/charts/_rels/chart60.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1.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package" Target="../embeddings/Workbook14.xlsx"/></Relationships>
</file>

<file path=word/charts/_rels/chart8.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package" Target="../embeddings/Workbook13.xlsx"/></Relationships>
</file>

<file path=word/charts/_rels/chart9.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人数比例</c:v>
                </c:pt>
              </c:strCache>
            </c:strRef>
          </c:tx>
          <c:invertIfNegative val="0"/>
          <c:dLbls>
            <c:dLbl>
              <c:idx val="0"/>
              <c:layout>
                <c:manualLayout>
                  <c:x val="0.0240789790512882"/>
                  <c:y val="-0.0179566563467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2747</a:t>
                    </a:r>
                    <a:r>
                      <a:rPr lang="zh-CN" altLang="en-US"/>
                      <a:t>（</a:t>
                    </a:r>
                    <a:r>
                      <a:rPr lang="en-US" altLang="zh-CN"/>
                      <a:t>63.80%</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02961714423308"/>
                  <c:y val="-0.023323013415892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1275</a:t>
                    </a:r>
                    <a:r>
                      <a:rPr lang="zh-CN" altLang="en-US"/>
                      <a:t>（</a:t>
                    </a:r>
                    <a:r>
                      <a:rPr lang="en-US" altLang="zh-CN"/>
                      <a:t>31.70%</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36046231639778"/>
                  <c:y val="0.0078431372549019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4022</a:t>
                    </a:r>
                    <a:r>
                      <a:rPr lang="zh-CN" altLang="en-US"/>
                      <a:t>（</a:t>
                    </a:r>
                    <a:r>
                      <a:rPr lang="en-US" altLang="zh-CN"/>
                      <a:t>100%</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男毕业生</c:v>
                </c:pt>
                <c:pt idx="1">
                  <c:v>女毕业生</c:v>
                </c:pt>
                <c:pt idx="2">
                  <c:v>总毕业生</c:v>
                </c:pt>
              </c:strCache>
            </c:strRef>
          </c:cat>
          <c:val>
            <c:numRef>
              <c:f>Sheet1!$B$2:$B$4</c:f>
              <c:numCache>
                <c:formatCode>General</c:formatCode>
                <c:ptCount val="3"/>
                <c:pt idx="0">
                  <c:v>2747</c:v>
                </c:pt>
                <c:pt idx="1">
                  <c:v>1275</c:v>
                </c:pt>
                <c:pt idx="2">
                  <c:v>4022</c:v>
                </c:pt>
              </c:numCache>
            </c:numRef>
          </c:val>
        </c:ser>
        <c:ser>
          <c:idx val="1"/>
          <c:order val="1"/>
          <c:tx>
            <c:strRef>
              <c:f>Sheet1!$C$1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男毕业生</c:v>
                </c:pt>
                <c:pt idx="1">
                  <c:v>女毕业生</c:v>
                </c:pt>
                <c:pt idx="2">
                  <c:v>总毕业生</c:v>
                </c:pt>
              </c:strCache>
            </c:strRef>
          </c:cat>
          <c:val>
            <c:numRef>
              <c:f>Sheet1!$C$2:$C$4</c:f>
              <c:numCache>
                <c:formatCode>General</c:formatCode>
                <c:ptCount val="3"/>
              </c:numCache>
            </c:numRef>
          </c:val>
        </c:ser>
        <c:ser>
          <c:idx val="2"/>
          <c:order val="2"/>
          <c:tx>
            <c:strRef>
              <c:f>Sheet1!$D$1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男毕业生</c:v>
                </c:pt>
                <c:pt idx="1">
                  <c:v>女毕业生</c:v>
                </c:pt>
                <c:pt idx="2">
                  <c:v>总毕业生</c:v>
                </c:pt>
              </c:strCache>
            </c:strRef>
          </c:cat>
          <c:val>
            <c:numRef>
              <c:f>Sheet1!$D$2:$D$4</c:f>
              <c:numCache>
                <c:formatCode>General</c:formatCode>
                <c:ptCount val="3"/>
              </c:numCache>
            </c:numRef>
          </c:val>
        </c:ser>
        <c:dLbls>
          <c:showLegendKey val="0"/>
          <c:showVal val="1"/>
          <c:showCatName val="0"/>
          <c:showSerName val="0"/>
          <c:showPercent val="0"/>
          <c:showBubbleSize val="0"/>
        </c:dLbls>
        <c:gapWidth val="150"/>
        <c:axId val="237013632"/>
        <c:axId val="237123840"/>
      </c:barChart>
      <c:catAx>
        <c:axId val="237013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7123840"/>
        <c:crosses val="autoZero"/>
        <c:auto val="1"/>
        <c:lblAlgn val="ctr"/>
        <c:lblOffset val="100"/>
        <c:noMultiLvlLbl val="0"/>
      </c:catAx>
      <c:valAx>
        <c:axId val="237123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7013632"/>
        <c:crosses val="autoZero"/>
        <c:crossBetween val="between"/>
      </c:valAx>
    </c:plotArea>
    <c:legend>
      <c:legendPos val="r"/>
      <c:legendEntry>
        <c:idx val="1"/>
        <c:delete val="1"/>
      </c:legendEntry>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599066390041497"/>
                  <c:y val="0.003477252970153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57105809128631"/>
                  <c:y val="0.007244277021153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1903526970954"/>
                  <c:y val="0.006954505940307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22276970954358"/>
                  <c:y val="0.0040567951318458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23184647302904"/>
                  <c:y val="-0.0092726745870762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51322614107884"/>
                  <c:y val="0.001448855404230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59102697095435"/>
                  <c:y val="0.0046363372935381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03449170124482"/>
                  <c:y val="0.0086931324253839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19372406639004"/>
                  <c:y val="0.0072442770211532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社会对母校专业认可度不高</c:v>
                </c:pt>
                <c:pt idx="1">
                  <c:v>专业工作环境差</c:v>
                </c:pt>
                <c:pt idx="2">
                  <c:v>对本专业工作无兴趣</c:v>
                </c:pt>
                <c:pt idx="3">
                  <c:v>专业工作与自身理想不符</c:v>
                </c:pt>
                <c:pt idx="4">
                  <c:v>其他</c:v>
                </c:pt>
                <c:pt idx="5">
                  <c:v>达不到专业相关工作的要求</c:v>
                </c:pt>
                <c:pt idx="6">
                  <c:v>专业工作收入水平较低</c:v>
                </c:pt>
                <c:pt idx="7">
                  <c:v>专业工作岗位招聘少</c:v>
                </c:pt>
                <c:pt idx="8">
                  <c:v>迫于现实先就业再择业</c:v>
                </c:pt>
              </c:strCache>
            </c:strRef>
          </c:cat>
          <c:val>
            <c:numRef>
              <c:f>Sheet1!$B$2:$B$10</c:f>
              <c:numCache>
                <c:formatCode>0.00%</c:formatCode>
                <c:ptCount val="9"/>
                <c:pt idx="0">
                  <c:v>0.019</c:v>
                </c:pt>
                <c:pt idx="1">
                  <c:v>0.0456</c:v>
                </c:pt>
                <c:pt idx="2">
                  <c:v>0.0798</c:v>
                </c:pt>
                <c:pt idx="3">
                  <c:v>0.0837</c:v>
                </c:pt>
                <c:pt idx="4">
                  <c:v>0.0855</c:v>
                </c:pt>
                <c:pt idx="5">
                  <c:v>0.1103</c:v>
                </c:pt>
                <c:pt idx="6">
                  <c:v>0.1198</c:v>
                </c:pt>
                <c:pt idx="7">
                  <c:v>0.1578</c:v>
                </c:pt>
                <c:pt idx="8">
                  <c:v>0.2985</c:v>
                </c:pt>
              </c:numCache>
            </c:numRef>
          </c:val>
        </c:ser>
        <c:dLbls>
          <c:showLegendKey val="0"/>
          <c:showVal val="1"/>
          <c:showCatName val="0"/>
          <c:showSerName val="0"/>
          <c:showPercent val="0"/>
          <c:showBubbleSize val="0"/>
        </c:dLbls>
        <c:gapWidth val="150"/>
        <c:overlap val="100"/>
        <c:axId val="224227186"/>
        <c:axId val="104878663"/>
      </c:barChart>
      <c:catAx>
        <c:axId val="22422718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878663"/>
        <c:crosses val="autoZero"/>
        <c:auto val="1"/>
        <c:lblAlgn val="ctr"/>
        <c:lblOffset val="100"/>
        <c:noMultiLvlLbl val="0"/>
      </c:catAx>
      <c:valAx>
        <c:axId val="10487866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2271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0616752877438726"/>
                  <c:y val="0.063442301121840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5003910145497"/>
                  <c:y val="0.07520010533992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56078936660163"/>
                  <c:y val="-0.2003384619074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9553535209873"/>
                  <c:y val="0.05815990914177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非常匹配</c:v>
                </c:pt>
                <c:pt idx="1">
                  <c:v>比较匹配</c:v>
                </c:pt>
                <c:pt idx="2">
                  <c:v>匹配</c:v>
                </c:pt>
                <c:pt idx="3">
                  <c:v>不太匹配</c:v>
                </c:pt>
                <c:pt idx="4">
                  <c:v>不匹配</c:v>
                </c:pt>
              </c:strCache>
            </c:strRef>
          </c:cat>
          <c:val>
            <c:numRef>
              <c:f>Sheet1!$B$2:$B$6</c:f>
              <c:numCache>
                <c:formatCode>0.00%</c:formatCode>
                <c:ptCount val="5"/>
                <c:pt idx="0">
                  <c:v>0.0611</c:v>
                </c:pt>
                <c:pt idx="1">
                  <c:v>0.2524</c:v>
                </c:pt>
                <c:pt idx="2">
                  <c:v>0.3092</c:v>
                </c:pt>
                <c:pt idx="3">
                  <c:v>0.2917</c:v>
                </c:pt>
                <c:pt idx="4">
                  <c:v>0.0856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282709011738996"/>
                  <c:y val="0"/>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28741565189159"/>
                  <c:y val="0.11950006864412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108243119427982"/>
                  <c:y val="-0.22128702689296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86227026665812"/>
                  <c:y val="0.0720428451836288"/>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139392030240983"/>
                      <c:h val="0.169566346403532"/>
                    </c:manualLayout>
                  </c15:layout>
                </c:ext>
              </c:extLst>
            </c:dLbl>
            <c:dLbl>
              <c:idx val="4"/>
              <c:layout>
                <c:manualLayout>
                  <c:x val="0.032967989816887"/>
                  <c:y val="0.11032240227764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不满意</c:v>
                </c:pt>
                <c:pt idx="1">
                  <c:v>不太满意</c:v>
                </c:pt>
                <c:pt idx="2">
                  <c:v>满意</c:v>
                </c:pt>
                <c:pt idx="3">
                  <c:v>比较满意</c:v>
                </c:pt>
                <c:pt idx="4">
                  <c:v>非常满意</c:v>
                </c:pt>
              </c:strCache>
            </c:strRef>
          </c:cat>
          <c:val>
            <c:numRef>
              <c:f>Sheet1!$B$2:$B$6</c:f>
              <c:numCache>
                <c:formatCode>0.00%</c:formatCode>
                <c:ptCount val="5"/>
                <c:pt idx="0">
                  <c:v>0.0524</c:v>
                </c:pt>
                <c:pt idx="1">
                  <c:v>0.1834</c:v>
                </c:pt>
                <c:pt idx="2">
                  <c:v>0.4463</c:v>
                </c:pt>
                <c:pt idx="3">
                  <c:v>0.2271</c:v>
                </c:pt>
                <c:pt idx="4">
                  <c:v>0.0908</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0"/>
            <c:invertIfNegative val="0"/>
            <c:bubble3D val="0"/>
            <c:spPr>
              <a:gradFill>
                <a:gsLst>
                  <a:gs pos="0">
                    <a:srgbClr val="14CD68"/>
                  </a:gs>
                  <a:gs pos="100000">
                    <a:srgbClr val="035C7D"/>
                  </a:gs>
                </a:gsLst>
                <a:lin scaled="0"/>
              </a:gradFill>
              <a:ln>
                <a:noFill/>
              </a:ln>
              <a:effectLst/>
            </c:spPr>
          </c:dPt>
          <c:dPt>
            <c:idx val="1"/>
            <c:invertIfNegative val="0"/>
            <c:bubble3D val="0"/>
            <c:spPr>
              <a:gradFill>
                <a:gsLst>
                  <a:gs pos="0">
                    <a:srgbClr val="FECF40"/>
                  </a:gs>
                  <a:gs pos="100000">
                    <a:srgbClr val="846C21"/>
                  </a:gs>
                </a:gsLst>
                <a:lin scaled="0"/>
              </a:gradFill>
              <a:ln>
                <a:noFill/>
              </a:ln>
              <a:effectLst/>
            </c:spPr>
          </c:dPt>
          <c:dPt>
            <c:idx val="2"/>
            <c:invertIfNegative val="0"/>
            <c:bubble3D val="0"/>
            <c:spPr>
              <a:gradFill>
                <a:gsLst>
                  <a:gs pos="0">
                    <a:srgbClr val="FE4444"/>
                  </a:gs>
                  <a:gs pos="100000">
                    <a:srgbClr val="832B2B"/>
                  </a:gs>
                </a:gsLst>
                <a:lin scaled="0"/>
              </a:gradFill>
              <a:ln>
                <a:noFill/>
              </a:ln>
              <a:effectLst/>
            </c:spPr>
          </c:dPt>
          <c:dPt>
            <c:idx val="3"/>
            <c:invertIfNegative val="0"/>
            <c:bubble3D val="0"/>
            <c:spPr>
              <a:gradFill>
                <a:gsLst>
                  <a:gs pos="0">
                    <a:srgbClr val="007BD3"/>
                  </a:gs>
                  <a:gs pos="100000">
                    <a:srgbClr val="034373"/>
                  </a:gs>
                </a:gsLst>
                <a:lin scaled="0"/>
              </a:gradFill>
              <a:ln>
                <a:noFill/>
              </a:ln>
              <a:effectLst/>
            </c:spPr>
          </c:dPt>
          <c:dLbls>
            <c:dLbl>
              <c:idx val="0"/>
              <c:layout>
                <c:manualLayout>
                  <c:x val="0.00462795227262829"/>
                  <c:y val="-0.33597963652760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91422260787279"/>
                  <c:y val="-0.2582772718126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295068282073835"/>
                  <c:y val="-0.16190397054898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0713405665187705"/>
                  <c:y val="-0.111460641671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0次</c:v>
                </c:pt>
                <c:pt idx="1">
                  <c:v>1次</c:v>
                </c:pt>
                <c:pt idx="2">
                  <c:v>2次</c:v>
                </c:pt>
                <c:pt idx="3">
                  <c:v>3次及以上</c:v>
                </c:pt>
              </c:strCache>
            </c:strRef>
          </c:cat>
          <c:val>
            <c:numRef>
              <c:f>Sheet1!$B$2:$B$5</c:f>
              <c:numCache>
                <c:formatCode>0.00%</c:formatCode>
                <c:ptCount val="4"/>
                <c:pt idx="0">
                  <c:v>0.455</c:v>
                </c:pt>
                <c:pt idx="1">
                  <c:v>0.2882</c:v>
                </c:pt>
                <c:pt idx="2">
                  <c:v>0.1564</c:v>
                </c:pt>
                <c:pt idx="3">
                  <c:v>0.1004</c:v>
                </c:pt>
              </c:numCache>
            </c:numRef>
          </c:val>
        </c:ser>
        <c:dLbls>
          <c:showLegendKey val="0"/>
          <c:showVal val="1"/>
          <c:showCatName val="0"/>
          <c:showSerName val="0"/>
          <c:showPercent val="0"/>
          <c:showBubbleSize val="0"/>
        </c:dLbls>
        <c:gapWidth val="150"/>
        <c:overlap val="100"/>
        <c:axId val="965939547"/>
        <c:axId val="867052240"/>
      </c:barChart>
      <c:catAx>
        <c:axId val="9659395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7052240"/>
        <c:crosses val="autoZero"/>
        <c:auto val="1"/>
        <c:lblAlgn val="ctr"/>
        <c:lblOffset val="100"/>
        <c:noMultiLvlLbl val="0"/>
      </c:catAx>
      <c:valAx>
        <c:axId val="867052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593954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450531325150692"/>
                  <c:y val="-0.007602631006740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29430330800611"/>
                  <c:y val="-0.0046092628832354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10843028097903"/>
                  <c:y val="-0.00186846269483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29882716586434"/>
                  <c:y val="-0.00222753643541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02074605256701"/>
                  <c:y val="-0.00063429438292635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952994934927021"/>
                  <c:y val="0.002141635166975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982369707197663"/>
                  <c:y val="0.0011885059275881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13187097058443"/>
                  <c:y val="0.0074609958397646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13929492198828"/>
                  <c:y val="0.003163474427897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133296703296703"/>
                  <c:y val="-0.00021743857360295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167472527472528"/>
                  <c:y val="0.0026092628832354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21978021978022"/>
                  <c:y val="0.008262665796912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282857142857143"/>
                  <c:y val="0.00021743857360295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786813186813187"/>
                      <c:h val="0.0482713633398565"/>
                    </c:manualLayout>
                  </c15:layout>
                </c:ext>
              </c:extLst>
            </c:dLbl>
            <c:dLbl>
              <c:idx val="13"/>
              <c:layout>
                <c:manualLayout>
                  <c:x val="0.33516483516483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Sheet1!$A$2:$A$15</c:f>
              <c:strCache>
                <c:ptCount val="14"/>
                <c:pt idx="0">
                  <c:v>被单位裁员或解聘</c:v>
                </c:pt>
                <c:pt idx="1">
                  <c:v>工作单位倒闭</c:v>
                </c:pt>
                <c:pt idx="2">
                  <c:v>对单位管理制度和文化不适应</c:v>
                </c:pt>
                <c:pt idx="3">
                  <c:v>人际关系因素</c:v>
                </c:pt>
                <c:pt idx="4">
                  <c:v>家庭原因</c:v>
                </c:pt>
                <c:pt idx="5">
                  <c:v>工作内容不喜欢</c:v>
                </c:pt>
                <c:pt idx="6">
                  <c:v>入职后发现与面试时描述不符</c:v>
                </c:pt>
                <c:pt idx="7">
                  <c:v>工作地域问题</c:v>
                </c:pt>
                <c:pt idx="8">
                  <c:v>其他</c:v>
                </c:pt>
                <c:pt idx="9">
                  <c:v>想改变职业或行业</c:v>
                </c:pt>
                <c:pt idx="10">
                  <c:v>工作环境不好</c:v>
                </c:pt>
                <c:pt idx="11">
                  <c:v>工作压力大</c:v>
                </c:pt>
                <c:pt idx="12">
                  <c:v>发展空间不大</c:v>
                </c:pt>
                <c:pt idx="13">
                  <c:v>薪资福利差</c:v>
                </c:pt>
              </c:strCache>
            </c:strRef>
          </c:cat>
          <c:val>
            <c:numRef>
              <c:f>Sheet1!$B$2:$B$15</c:f>
              <c:numCache>
                <c:formatCode>0.00%</c:formatCode>
                <c:ptCount val="14"/>
                <c:pt idx="0">
                  <c:v>0.0144</c:v>
                </c:pt>
                <c:pt idx="1">
                  <c:v>0.024</c:v>
                </c:pt>
                <c:pt idx="2">
                  <c:v>0.0497</c:v>
                </c:pt>
                <c:pt idx="3">
                  <c:v>0.0529</c:v>
                </c:pt>
                <c:pt idx="4">
                  <c:v>0.0769</c:v>
                </c:pt>
                <c:pt idx="5">
                  <c:v>0.0929</c:v>
                </c:pt>
                <c:pt idx="6">
                  <c:v>0.0929</c:v>
                </c:pt>
                <c:pt idx="7">
                  <c:v>0.1106</c:v>
                </c:pt>
                <c:pt idx="8">
                  <c:v>0.1202</c:v>
                </c:pt>
                <c:pt idx="9">
                  <c:v>0.1394</c:v>
                </c:pt>
                <c:pt idx="10">
                  <c:v>0.1939</c:v>
                </c:pt>
                <c:pt idx="11">
                  <c:v>0.2692</c:v>
                </c:pt>
                <c:pt idx="12">
                  <c:v>0.3622</c:v>
                </c:pt>
                <c:pt idx="13">
                  <c:v>0.4343</c:v>
                </c:pt>
              </c:numCache>
            </c:numRef>
          </c:val>
        </c:ser>
        <c:dLbls>
          <c:showLegendKey val="0"/>
          <c:showVal val="1"/>
          <c:showCatName val="0"/>
          <c:showSerName val="0"/>
          <c:showPercent val="0"/>
          <c:showBubbleSize val="0"/>
        </c:dLbls>
        <c:gapWidth val="150"/>
        <c:overlap val="100"/>
        <c:axId val="92874544"/>
        <c:axId val="722728070"/>
      </c:barChart>
      <c:catAx>
        <c:axId val="928745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2728070"/>
        <c:crosses val="autoZero"/>
        <c:auto val="1"/>
        <c:lblAlgn val="ctr"/>
        <c:lblOffset val="100"/>
        <c:noMultiLvlLbl val="0"/>
      </c:catAx>
      <c:valAx>
        <c:axId val="72272807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87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241557416299999"/>
                  <c:y val="0.1344671964329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1722724092574"/>
                  <c:y val="-0.021723108076514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64479527275205"/>
                  <c:y val="-0.1605114136385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882948051533826"/>
                  <c:y val="0.097564983294978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非常稳定</c:v>
                </c:pt>
                <c:pt idx="1">
                  <c:v>比较稳定</c:v>
                </c:pt>
                <c:pt idx="2">
                  <c:v>稳定</c:v>
                </c:pt>
                <c:pt idx="3">
                  <c:v>不太稳定</c:v>
                </c:pt>
                <c:pt idx="4">
                  <c:v>不稳定</c:v>
                </c:pt>
              </c:strCache>
            </c:strRef>
          </c:cat>
          <c:val>
            <c:numRef>
              <c:f>Sheet1!$B$2:$B$6</c:f>
              <c:numCache>
                <c:formatCode>0.00%</c:formatCode>
                <c:ptCount val="5"/>
                <c:pt idx="0">
                  <c:v>0.09</c:v>
                </c:pt>
                <c:pt idx="1">
                  <c:v>0.3004</c:v>
                </c:pt>
                <c:pt idx="2">
                  <c:v>0.3642</c:v>
                </c:pt>
                <c:pt idx="3">
                  <c:v>0.1991</c:v>
                </c:pt>
                <c:pt idx="4">
                  <c:v>0.0463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875"/>
                  <c:y val="-0.002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98161813588618"/>
                  <c:y val="-0.006778972520907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47062724371759"/>
                  <c:y val="-0.0076899641577061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802166101582236"/>
                  <c:y val="0.001999999999999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827142334795905"/>
                  <c:y val="0.001999999999999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933058730789945"/>
                  <c:y val="-0.0056049062737768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947160118335328"/>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00796274957119"/>
                  <c:y val="-0.008155316606929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19701331744117"/>
                  <c:y val="-0.00099260041953548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295864912596559"/>
                  <c:y val="-0.00358422939068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新媒体平台发布的信息</c:v>
                </c:pt>
                <c:pt idx="1">
                  <c:v>学校官网或公众号发布的招聘信息</c:v>
                </c:pt>
                <c:pt idx="2">
                  <c:v>老师推荐</c:v>
                </c:pt>
                <c:pt idx="3">
                  <c:v>专业实习后与单位签订正式就业协议</c:v>
                </c:pt>
                <c:pt idx="4">
                  <c:v>政府/社会组织的招聘会</c:v>
                </c:pt>
                <c:pt idx="5">
                  <c:v>其他</c:v>
                </c:pt>
                <c:pt idx="6">
                  <c:v>校园招聘会(双选会/宣讲会)</c:v>
                </c:pt>
                <c:pt idx="7">
                  <c:v>用人单位内部招聘渠道</c:v>
                </c:pt>
                <c:pt idx="8">
                  <c:v>家庭亲友推荐</c:v>
                </c:pt>
                <c:pt idx="9">
                  <c:v>各类招聘网站</c:v>
                </c:pt>
              </c:strCache>
            </c:strRef>
          </c:cat>
          <c:val>
            <c:numRef>
              <c:f>Sheet1!$B$2:$B$11</c:f>
              <c:numCache>
                <c:formatCode>0.00%</c:formatCode>
                <c:ptCount val="10"/>
                <c:pt idx="0">
                  <c:v>0.0218</c:v>
                </c:pt>
                <c:pt idx="1">
                  <c:v>0.0262</c:v>
                </c:pt>
                <c:pt idx="2">
                  <c:v>0.0262</c:v>
                </c:pt>
                <c:pt idx="3">
                  <c:v>0.0463</c:v>
                </c:pt>
                <c:pt idx="4">
                  <c:v>0.0559</c:v>
                </c:pt>
                <c:pt idx="5">
                  <c:v>0.0708</c:v>
                </c:pt>
                <c:pt idx="6">
                  <c:v>0.0716</c:v>
                </c:pt>
                <c:pt idx="7">
                  <c:v>0.0873</c:v>
                </c:pt>
                <c:pt idx="8">
                  <c:v>0.248</c:v>
                </c:pt>
                <c:pt idx="9">
                  <c:v>0.3459</c:v>
                </c:pt>
              </c:numCache>
            </c:numRef>
          </c:val>
        </c:ser>
        <c:dLbls>
          <c:showLegendKey val="0"/>
          <c:showVal val="1"/>
          <c:showCatName val="0"/>
          <c:showSerName val="0"/>
          <c:showPercent val="0"/>
          <c:showBubbleSize val="0"/>
        </c:dLbls>
        <c:gapWidth val="150"/>
        <c:overlap val="100"/>
        <c:axId val="92874544"/>
        <c:axId val="722728070"/>
      </c:barChart>
      <c:catAx>
        <c:axId val="928745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2728070"/>
        <c:crosses val="autoZero"/>
        <c:auto val="1"/>
        <c:lblAlgn val="ctr"/>
        <c:lblOffset val="100"/>
        <c:noMultiLvlLbl val="0"/>
      </c:catAx>
      <c:valAx>
        <c:axId val="72272807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87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969639660626799"/>
                  <c:y val="-0.17121463065696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4056995336556"/>
                  <c:y val="0.1486157692972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有影响</c:v>
                </c:pt>
                <c:pt idx="1">
                  <c:v>无影响</c:v>
                </c:pt>
              </c:strCache>
            </c:strRef>
          </c:cat>
          <c:val>
            <c:numRef>
              <c:f>Sheet1!$B$2:$B$3</c:f>
              <c:numCache>
                <c:formatCode>0.00%</c:formatCode>
                <c:ptCount val="2"/>
                <c:pt idx="0">
                  <c:v>0.7999</c:v>
                </c:pt>
                <c:pt idx="1">
                  <c:v>0.2001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374737102561"/>
          <c:y val="0.0542673902318698"/>
          <c:w val="0.83058270444142"/>
          <c:h val="0.63334977799704"/>
        </c:manualLayout>
      </c:layout>
      <c:barChart>
        <c:barDir val="col"/>
        <c:grouping val="stacked"/>
        <c:varyColors val="0"/>
        <c:ser>
          <c:idx val="0"/>
          <c:order val="0"/>
          <c:tx>
            <c:strRef>
              <c:f>Sheet1!$B$1</c:f>
              <c:strCache>
                <c:ptCount val="1"/>
                <c:pt idx="0">
                  <c:v>百分比</c:v>
                </c:pt>
              </c:strCache>
            </c:strRef>
          </c:tx>
          <c:spPr>
            <a:gradFill>
              <a:gsLst>
                <a:gs pos="0">
                  <a:srgbClr val="FECF40"/>
                </a:gs>
                <a:gs pos="100000">
                  <a:srgbClr val="846C21"/>
                </a:gs>
              </a:gsLst>
              <a:lin scaled="0"/>
            </a:gradFill>
            <a:ln>
              <a:noFill/>
            </a:ln>
            <a:effectLst/>
          </c:spPr>
          <c:invertIfNegative val="0"/>
          <c:dPt>
            <c:idx val="1"/>
            <c:invertIfNegative val="0"/>
            <c:bubble3D val="0"/>
            <c:spPr>
              <a:gradFill>
                <a:gsLst>
                  <a:gs pos="0">
                    <a:srgbClr val="FE4444"/>
                  </a:gs>
                  <a:gs pos="100000">
                    <a:srgbClr val="832B2B"/>
                  </a:gs>
                </a:gsLst>
                <a:lin ang="0" scaled="0"/>
              </a:gradFill>
              <a:ln>
                <a:noFill/>
              </a:ln>
              <a:effectLst/>
            </c:spPr>
          </c:dPt>
          <c:dPt>
            <c:idx val="2"/>
            <c:invertIfNegative val="0"/>
            <c:bubble3D val="0"/>
            <c:spPr>
              <a:gradFill>
                <a:gsLst>
                  <a:gs pos="0">
                    <a:srgbClr val="14CD68"/>
                  </a:gs>
                  <a:gs pos="100000">
                    <a:srgbClr val="0B6E38"/>
                  </a:gs>
                </a:gsLst>
                <a:lin ang="0" scaled="0"/>
              </a:gradFill>
              <a:ln>
                <a:noFill/>
              </a:ln>
              <a:effectLst/>
            </c:spPr>
          </c:dPt>
          <c:dPt>
            <c:idx val="3"/>
            <c:invertIfNegative val="0"/>
            <c:bubble3D val="0"/>
            <c:spPr>
              <a:gradFill>
                <a:gsLst>
                  <a:gs pos="0">
                    <a:srgbClr val="7B32B2"/>
                  </a:gs>
                  <a:gs pos="100000">
                    <a:srgbClr val="401A5D"/>
                  </a:gs>
                </a:gsLst>
                <a:lin ang="0" scaled="0"/>
              </a:gradFill>
              <a:ln>
                <a:noFill/>
              </a:ln>
              <a:effectLst/>
            </c:spPr>
          </c:dPt>
          <c:dLbls>
            <c:delete val="1"/>
          </c:dLbls>
          <c:cat>
            <c:strRef>
              <c:f>Sheet1!$A$2:$A$5</c:f>
              <c:strCache>
                <c:ptCount val="4"/>
                <c:pt idx="0">
                  <c:v>秋季校招期间（2022年9月-2023年1月）</c:v>
                </c:pt>
                <c:pt idx="1">
                  <c:v>春季校招期间（2023年2月-5月）</c:v>
                </c:pt>
                <c:pt idx="2">
                  <c:v>毕业季（2023年6月-7月）</c:v>
                </c:pt>
                <c:pt idx="3">
                  <c:v>其他</c:v>
                </c:pt>
              </c:strCache>
            </c:strRef>
          </c:cat>
          <c:val>
            <c:numRef>
              <c:f>Sheet1!$B$2:$B$5</c:f>
              <c:numCache>
                <c:formatCode>0.00%</c:formatCode>
                <c:ptCount val="4"/>
                <c:pt idx="0">
                  <c:v>0.1616</c:v>
                </c:pt>
                <c:pt idx="1">
                  <c:v>0.1686</c:v>
                </c:pt>
                <c:pt idx="2">
                  <c:v>0.3528</c:v>
                </c:pt>
                <c:pt idx="3">
                  <c:v>0.317</c:v>
                </c:pt>
              </c:numCache>
            </c:numRef>
          </c:val>
        </c:ser>
        <c:dLbls>
          <c:showLegendKey val="0"/>
          <c:showVal val="0"/>
          <c:showCatName val="0"/>
          <c:showSerName val="0"/>
          <c:showPercent val="0"/>
          <c:showBubbleSize val="0"/>
        </c:dLbls>
        <c:gapWidth val="95"/>
        <c:overlap val="100"/>
        <c:axId val="489514496"/>
        <c:axId val="32202951"/>
      </c:barChart>
      <c:catAx>
        <c:axId val="48951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202951"/>
        <c:crosses val="autoZero"/>
        <c:auto val="1"/>
        <c:lblAlgn val="ctr"/>
        <c:lblOffset val="100"/>
        <c:noMultiLvlLbl val="0"/>
      </c:catAx>
      <c:valAx>
        <c:axId val="322029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514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75"/>
          <c:y val="0.0305"/>
          <c:w val="0.87205"/>
          <c:h val="0.807233333333333"/>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5"/>
                  <c:y val="-0.3771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994932169031652"/>
                  <c:y val="-0.2421747967479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1625"/>
                  <c:y val="-0.095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5"/>
                  <c:y val="-0.0583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5"/>
                  <c:y val="-0.0311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38017308591923"/>
                  <c:y val="-0.05203252032520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1个月以内</c:v>
                </c:pt>
                <c:pt idx="1">
                  <c:v>1-3个月</c:v>
                </c:pt>
                <c:pt idx="2">
                  <c:v>4-6个月</c:v>
                </c:pt>
                <c:pt idx="3">
                  <c:v>7-9个月</c:v>
                </c:pt>
                <c:pt idx="4">
                  <c:v>10-12个月</c:v>
                </c:pt>
                <c:pt idx="5">
                  <c:v>12个月以上</c:v>
                </c:pt>
              </c:strCache>
            </c:strRef>
          </c:cat>
          <c:val>
            <c:numRef>
              <c:f>Sheet1!$B$2:$B$7</c:f>
              <c:numCache>
                <c:formatCode>0.00%</c:formatCode>
                <c:ptCount val="6"/>
                <c:pt idx="0">
                  <c:v>0.4891</c:v>
                </c:pt>
                <c:pt idx="1">
                  <c:v>0.3092</c:v>
                </c:pt>
                <c:pt idx="2">
                  <c:v>0.1022</c:v>
                </c:pt>
                <c:pt idx="3">
                  <c:v>0.0401</c:v>
                </c:pt>
                <c:pt idx="4">
                  <c:v>0.014</c:v>
                </c:pt>
                <c:pt idx="5">
                  <c:v>0.0454</c:v>
                </c:pt>
              </c:numCache>
            </c:numRef>
          </c:val>
        </c:ser>
        <c:dLbls>
          <c:showLegendKey val="0"/>
          <c:showVal val="1"/>
          <c:showCatName val="0"/>
          <c:showSerName val="0"/>
          <c:showPercent val="0"/>
          <c:showBubbleSize val="0"/>
        </c:dLbls>
        <c:gapWidth val="150"/>
        <c:overlap val="100"/>
        <c:axId val="280059125"/>
        <c:axId val="741781782"/>
      </c:barChart>
      <c:catAx>
        <c:axId val="2800591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1781782"/>
        <c:crosses val="autoZero"/>
        <c:auto val="1"/>
        <c:lblAlgn val="ctr"/>
        <c:lblOffset val="100"/>
        <c:noMultiLvlLbl val="0"/>
      </c:catAx>
      <c:valAx>
        <c:axId val="74178178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05912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42764266795088"/>
          <c:y val="0.0423371647509579"/>
          <c:w val="0.692270647724537"/>
          <c:h val="0.85727969348659"/>
        </c:manualLayout>
      </c:layout>
      <c:barChart>
        <c:barDir val="col"/>
        <c:grouping val="clustered"/>
        <c:varyColors val="0"/>
        <c:ser>
          <c:idx val="0"/>
          <c:order val="0"/>
          <c:tx>
            <c:strRef>
              <c:f>Sheet1!$B$1</c:f>
              <c:strCache>
                <c:ptCount val="1"/>
                <c:pt idx="0">
                  <c:v>人数（比例）</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2236</a:t>
                    </a:r>
                    <a:r>
                      <a:rPr lang="zh-CN" altLang="en-US"/>
                      <a:t>（</a:t>
                    </a:r>
                    <a:r>
                      <a:rPr lang="en-US" altLang="zh-CN"/>
                      <a:t>55.59%</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1392</a:t>
                    </a:r>
                    <a:r>
                      <a:rPr lang="zh-CN" altLang="en-US"/>
                      <a:t>（</a:t>
                    </a:r>
                    <a:r>
                      <a:rPr lang="en-US" altLang="zh-CN"/>
                      <a:t>34.61%</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385</a:t>
                    </a:r>
                    <a:r>
                      <a:rPr lang="zh-CN" altLang="en-US"/>
                      <a:t>（</a:t>
                    </a:r>
                    <a:r>
                      <a:rPr lang="en-US" altLang="zh-CN"/>
                      <a:t>9.58%</a:t>
                    </a:r>
                    <a:r>
                      <a:rPr lang="zh-CN" altLang="en-US"/>
                      <a:t>）</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00300987238141103"/>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a:t>
                    </a:r>
                    <a:r>
                      <a:t>（</a:t>
                    </a:r>
                    <a:r>
                      <a:rPr lang="en-US" altLang="zh-CN"/>
                      <a:t>0.22%</a:t>
                    </a:r>
                    <a:r>
                      <a:t>）</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33397543944137"/>
                      <c:h val="0.0578544061302682"/>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共青团员</c:v>
                </c:pt>
                <c:pt idx="1">
                  <c:v>群众</c:v>
                </c:pt>
                <c:pt idx="2">
                  <c:v>中共党员</c:v>
                </c:pt>
                <c:pt idx="3">
                  <c:v>中共预备党员</c:v>
                </c:pt>
              </c:strCache>
            </c:strRef>
          </c:cat>
          <c:val>
            <c:numRef>
              <c:f>Sheet1!$B$2:$B$5</c:f>
              <c:numCache>
                <c:formatCode>General</c:formatCode>
                <c:ptCount val="4"/>
                <c:pt idx="0">
                  <c:v>2236</c:v>
                </c:pt>
                <c:pt idx="1">
                  <c:v>1392</c:v>
                </c:pt>
                <c:pt idx="2">
                  <c:v>385</c:v>
                </c:pt>
                <c:pt idx="3">
                  <c:v>9</c:v>
                </c:pt>
              </c:numCache>
            </c:numRef>
          </c:val>
        </c:ser>
        <c:dLbls>
          <c:showLegendKey val="0"/>
          <c:showVal val="1"/>
          <c:showCatName val="0"/>
          <c:showSerName val="0"/>
          <c:showPercent val="0"/>
          <c:showBubbleSize val="0"/>
        </c:dLbls>
        <c:gapWidth val="150"/>
        <c:axId val="238868352"/>
        <c:axId val="239073152"/>
      </c:barChart>
      <c:catAx>
        <c:axId val="2388683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9073152"/>
        <c:crosses val="autoZero"/>
        <c:auto val="1"/>
        <c:lblAlgn val="ctr"/>
        <c:lblOffset val="100"/>
        <c:noMultiLvlLbl val="0"/>
      </c:catAx>
      <c:valAx>
        <c:axId val="2390731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683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0"/>
            <c:invertIfNegative val="0"/>
            <c:bubble3D val="0"/>
            <c:spPr>
              <a:gradFill>
                <a:gsLst>
                  <a:gs pos="0">
                    <a:srgbClr val="14CD68"/>
                  </a:gs>
                  <a:gs pos="100000">
                    <a:srgbClr val="035C7D"/>
                  </a:gs>
                </a:gsLst>
                <a:lin scaled="0"/>
              </a:gradFill>
              <a:ln>
                <a:noFill/>
              </a:ln>
              <a:effectLst/>
            </c:spPr>
          </c:dPt>
          <c:dPt>
            <c:idx val="1"/>
            <c:invertIfNegative val="0"/>
            <c:bubble3D val="0"/>
            <c:spPr>
              <a:gradFill>
                <a:gsLst>
                  <a:gs pos="0">
                    <a:srgbClr val="FECF40"/>
                  </a:gs>
                  <a:gs pos="100000">
                    <a:srgbClr val="846C21"/>
                  </a:gs>
                </a:gsLst>
                <a:lin scaled="0"/>
              </a:gradFill>
              <a:ln>
                <a:noFill/>
              </a:ln>
              <a:effectLst/>
            </c:spPr>
          </c:dPt>
          <c:dPt>
            <c:idx val="2"/>
            <c:invertIfNegative val="0"/>
            <c:bubble3D val="0"/>
            <c:spPr>
              <a:gradFill>
                <a:gsLst>
                  <a:gs pos="0">
                    <a:srgbClr val="FE4444"/>
                  </a:gs>
                  <a:gs pos="100000">
                    <a:srgbClr val="832B2B"/>
                  </a:gs>
                </a:gsLst>
                <a:lin scaled="0"/>
              </a:gradFill>
              <a:ln>
                <a:noFill/>
              </a:ln>
              <a:effectLst/>
            </c:spPr>
          </c:dPt>
          <c:dPt>
            <c:idx val="3"/>
            <c:invertIfNegative val="0"/>
            <c:bubble3D val="0"/>
            <c:spPr>
              <a:gradFill>
                <a:gsLst>
                  <a:gs pos="0">
                    <a:srgbClr val="007BD3"/>
                  </a:gs>
                  <a:gs pos="100000">
                    <a:srgbClr val="034373"/>
                  </a:gs>
                </a:gsLst>
                <a:lin scaled="0"/>
              </a:gradFill>
              <a:ln>
                <a:noFill/>
              </a:ln>
              <a:effectLst/>
            </c:spPr>
          </c:dPt>
          <c:dPt>
            <c:idx val="4"/>
            <c:invertIfNegative val="0"/>
            <c:bubble3D val="0"/>
            <c:spPr>
              <a:gradFill>
                <a:gsLst>
                  <a:gs pos="0">
                    <a:srgbClr val="012D86"/>
                  </a:gs>
                  <a:gs pos="100000">
                    <a:srgbClr val="0E2557"/>
                  </a:gs>
                </a:gsLst>
                <a:lin scaled="0"/>
              </a:gradFill>
              <a:ln>
                <a:noFill/>
              </a:ln>
              <a:effectLst/>
            </c:spPr>
          </c:dPt>
          <c:dLbls>
            <c:dLbl>
              <c:idx val="0"/>
              <c:layout>
                <c:manualLayout>
                  <c:x val="0.00265003897116134"/>
                  <c:y val="-0.32534729181579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32708281490617"/>
                  <c:y val="-0.3634815247505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295068282073835"/>
                  <c:y val="-0.32642551503695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66923226812159"/>
                  <c:y val="-0.093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0869154325798915"/>
                  <c:y val="-0.24226709071067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1个</c:v>
                </c:pt>
                <c:pt idx="1">
                  <c:v>2个</c:v>
                </c:pt>
                <c:pt idx="2">
                  <c:v>3个</c:v>
                </c:pt>
                <c:pt idx="3">
                  <c:v>4个</c:v>
                </c:pt>
                <c:pt idx="4">
                  <c:v>5个及以上</c:v>
                </c:pt>
              </c:strCache>
            </c:strRef>
          </c:cat>
          <c:val>
            <c:numRef>
              <c:f>Sheet1!$B$2:$B$6</c:f>
              <c:numCache>
                <c:formatCode>0.00%</c:formatCode>
                <c:ptCount val="5"/>
                <c:pt idx="0">
                  <c:v>0.2411</c:v>
                </c:pt>
                <c:pt idx="1">
                  <c:v>0.2873</c:v>
                </c:pt>
                <c:pt idx="2">
                  <c:v>0.2454</c:v>
                </c:pt>
                <c:pt idx="3">
                  <c:v>0.0437</c:v>
                </c:pt>
                <c:pt idx="4">
                  <c:v>0.1825</c:v>
                </c:pt>
              </c:numCache>
            </c:numRef>
          </c:val>
        </c:ser>
        <c:dLbls>
          <c:showLegendKey val="0"/>
          <c:showVal val="1"/>
          <c:showCatName val="0"/>
          <c:showSerName val="0"/>
          <c:showPercent val="0"/>
          <c:showBubbleSize val="0"/>
        </c:dLbls>
        <c:gapWidth val="150"/>
        <c:overlap val="100"/>
        <c:axId val="965939547"/>
        <c:axId val="867052240"/>
      </c:barChart>
      <c:catAx>
        <c:axId val="9659395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7052240"/>
        <c:crosses val="autoZero"/>
        <c:auto val="1"/>
        <c:lblAlgn val="ctr"/>
        <c:lblOffset val="100"/>
        <c:noMultiLvlLbl val="0"/>
      </c:catAx>
      <c:valAx>
        <c:axId val="867052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593954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122270596070678"/>
                  <c:y val="0.00778166386824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73431647337112"/>
                  <c:y val="0.0009609434858324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8468718746527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9391768696964"/>
                  <c:y val="0.0061636027000938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49966895077893"/>
                  <c:y val="0.007971305222147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82198152482777"/>
                  <c:y val="-0.0008246388048934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40386506424409"/>
                  <c:y val="0.0051892961020676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342262891647099"/>
                  <c:y val="0.0057102838552256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Sheet1!$A$2:$A$9</c:f>
              <c:strCache>
                <c:ptCount val="8"/>
                <c:pt idx="0">
                  <c:v>解决基本问题能力</c:v>
                </c:pt>
                <c:pt idx="1">
                  <c:v>其他</c:v>
                </c:pt>
                <c:pt idx="2">
                  <c:v>求职技能</c:v>
                </c:pt>
                <c:pt idx="3">
                  <c:v>对企业岗位专业知识的了解</c:v>
                </c:pt>
                <c:pt idx="4">
                  <c:v>承受压力和克服困难的能力</c:v>
                </c:pt>
                <c:pt idx="5">
                  <c:v>对社会的了解</c:v>
                </c:pt>
                <c:pt idx="6">
                  <c:v>专业知识和技能</c:v>
                </c:pt>
                <c:pt idx="7">
                  <c:v>沟通协调能力</c:v>
                </c:pt>
              </c:strCache>
            </c:strRef>
          </c:cat>
          <c:val>
            <c:numRef>
              <c:f>Sheet1!$B$2:$B$9</c:f>
              <c:numCache>
                <c:formatCode>0.00%</c:formatCode>
                <c:ptCount val="8"/>
                <c:pt idx="0">
                  <c:v>0.1019</c:v>
                </c:pt>
                <c:pt idx="1">
                  <c:v>0.1714</c:v>
                </c:pt>
                <c:pt idx="2">
                  <c:v>0.1977</c:v>
                </c:pt>
                <c:pt idx="3">
                  <c:v>0.2012</c:v>
                </c:pt>
                <c:pt idx="4">
                  <c:v>0.2663</c:v>
                </c:pt>
                <c:pt idx="5">
                  <c:v>0.3093</c:v>
                </c:pt>
                <c:pt idx="6">
                  <c:v>0.3866</c:v>
                </c:pt>
                <c:pt idx="7">
                  <c:v>0.3893</c:v>
                </c:pt>
              </c:numCache>
            </c:numRef>
          </c:val>
        </c:ser>
        <c:dLbls>
          <c:showLegendKey val="0"/>
          <c:showVal val="1"/>
          <c:showCatName val="0"/>
          <c:showSerName val="0"/>
          <c:showPercent val="0"/>
          <c:showBubbleSize val="0"/>
        </c:dLbls>
        <c:gapWidth val="75"/>
        <c:overlap val="100"/>
        <c:axId val="79400283"/>
        <c:axId val="537703008"/>
      </c:barChart>
      <c:catAx>
        <c:axId val="7940028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7703008"/>
        <c:crosses val="autoZero"/>
        <c:auto val="1"/>
        <c:lblAlgn val="ctr"/>
        <c:lblOffset val="100"/>
        <c:noMultiLvlLbl val="0"/>
      </c:catAx>
      <c:valAx>
        <c:axId val="5377030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4002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0963840241905"/>
          <c:y val="0.062483167250202"/>
          <c:w val="0.602545042207383"/>
          <c:h val="0.810503635873956"/>
        </c:manualLayout>
      </c:layout>
      <c:barChart>
        <c:barDir val="bar"/>
        <c:grouping val="stack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0359307102760156"/>
                  <c:y val="0.01023431187718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45065532545547"/>
                  <c:y val="0.0088821405555004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44755810357156"/>
                  <c:y val="0.003379329766263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37440561663388"/>
                  <c:y val="0.0037527920962443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827426893629724"/>
                  <c:y val="0.0081759481850173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943674207050137"/>
                  <c:y val="0.0071877121514270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0494070599169"/>
                  <c:y val="-0.0028974604192571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322173819832365"/>
                  <c:y val="0.0008540670247808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Sheet1!$A$2:$A$9</c:f>
              <c:strCache>
                <c:ptCount val="8"/>
                <c:pt idx="0">
                  <c:v>受同学影响</c:v>
                </c:pt>
                <c:pt idx="1">
                  <c:v>家人期望</c:v>
                </c:pt>
                <c:pt idx="2">
                  <c:v>其他</c:v>
                </c:pt>
                <c:pt idx="3">
                  <c:v>增加择业资本，提升就业竞争力</c:v>
                </c:pt>
                <c:pt idx="4">
                  <c:v>延缓面对择业的困难</c:v>
                </c:pt>
                <c:pt idx="5">
                  <c:v>提升综合能力</c:v>
                </c:pt>
                <c:pt idx="6">
                  <c:v>对专业感兴趣，愿深入学习</c:v>
                </c:pt>
                <c:pt idx="7">
                  <c:v>提升学历层次</c:v>
                </c:pt>
              </c:strCache>
            </c:strRef>
          </c:cat>
          <c:val>
            <c:numRef>
              <c:f>Sheet1!$B$2:$B$9</c:f>
              <c:numCache>
                <c:formatCode>0.00%</c:formatCode>
                <c:ptCount val="8"/>
                <c:pt idx="0">
                  <c:v>0</c:v>
                </c:pt>
                <c:pt idx="1">
                  <c:v>0.0172</c:v>
                </c:pt>
                <c:pt idx="2">
                  <c:v>0.0345</c:v>
                </c:pt>
                <c:pt idx="3">
                  <c:v>0.069</c:v>
                </c:pt>
                <c:pt idx="4">
                  <c:v>0.0862</c:v>
                </c:pt>
                <c:pt idx="5">
                  <c:v>0.1034</c:v>
                </c:pt>
                <c:pt idx="6">
                  <c:v>0.1207</c:v>
                </c:pt>
                <c:pt idx="7">
                  <c:v>0.569</c:v>
                </c:pt>
              </c:numCache>
            </c:numRef>
          </c:val>
        </c:ser>
        <c:dLbls>
          <c:showLegendKey val="0"/>
          <c:showVal val="1"/>
          <c:showCatName val="0"/>
          <c:showSerName val="0"/>
          <c:showPercent val="0"/>
          <c:showBubbleSize val="0"/>
        </c:dLbls>
        <c:gapWidth val="150"/>
        <c:overlap val="100"/>
        <c:axId val="27464614"/>
        <c:axId val="21477356"/>
      </c:barChart>
      <c:catAx>
        <c:axId val="2746461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477356"/>
        <c:crosses val="autoZero"/>
        <c:auto val="1"/>
        <c:lblAlgn val="ctr"/>
        <c:lblOffset val="100"/>
        <c:noMultiLvlLbl val="0"/>
      </c:catAx>
      <c:valAx>
        <c:axId val="2147735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646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Pt>
            <c:idx val="1"/>
            <c:invertIfNegative val="0"/>
            <c:bubble3D val="0"/>
            <c:spPr>
              <a:solidFill>
                <a:srgbClr val="FF6600"/>
              </a:solidFill>
            </c:spPr>
          </c:dPt>
          <c:dPt>
            <c:idx val="2"/>
            <c:invertIfNegative val="0"/>
            <c:bubble3D val="0"/>
            <c:spPr>
              <a:solidFill>
                <a:schemeClr val="bg1">
                  <a:lumMod val="65000"/>
                </a:schemeClr>
              </a:solidFill>
            </c:spPr>
          </c:dPt>
          <c:dPt>
            <c:idx val="3"/>
            <c:invertIfNegative val="0"/>
            <c:bubble3D val="0"/>
            <c:spPr>
              <a:solidFill>
                <a:srgbClr val="FFC000"/>
              </a:solidFill>
            </c:spPr>
          </c:dPt>
          <c:dPt>
            <c:idx val="4"/>
            <c:invertIfNegative val="0"/>
            <c:bubble3D val="0"/>
            <c:spPr>
              <a:solidFill>
                <a:srgbClr val="00B050"/>
              </a:solidFill>
            </c:spPr>
          </c:dPt>
          <c:dLbls>
            <c:dLbl>
              <c:idx val="0"/>
              <c:layout>
                <c:manualLayout>
                  <c:x val="-0.00226950354609929"/>
                  <c:y val="0.03226696083838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567375886524823"/>
                  <c:y val="0.010479867622724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83687943262411"/>
                  <c:y val="-0.0024820739106453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83687943262411"/>
                  <c:y val="0.0046883618312189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0091009376723663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非常一致</c:v>
                </c:pt>
                <c:pt idx="1">
                  <c:v>比较一致</c:v>
                </c:pt>
                <c:pt idx="2">
                  <c:v>一致</c:v>
                </c:pt>
                <c:pt idx="3">
                  <c:v>不太一致</c:v>
                </c:pt>
                <c:pt idx="4">
                  <c:v>不一致</c:v>
                </c:pt>
              </c:strCache>
            </c:strRef>
          </c:cat>
          <c:val>
            <c:numRef>
              <c:f>Sheet1!$B$2:$B$6</c:f>
              <c:numCache>
                <c:formatCode>0.00%</c:formatCode>
                <c:ptCount val="5"/>
                <c:pt idx="0">
                  <c:v>0.3966</c:v>
                </c:pt>
                <c:pt idx="1">
                  <c:v>0.2758</c:v>
                </c:pt>
                <c:pt idx="2">
                  <c:v>0.1207</c:v>
                </c:pt>
                <c:pt idx="3">
                  <c:v>0.1207</c:v>
                </c:pt>
                <c:pt idx="4">
                  <c:v>0.0862</c:v>
                </c:pt>
              </c:numCache>
            </c:numRef>
          </c:val>
        </c:ser>
        <c:dLbls>
          <c:showLegendKey val="0"/>
          <c:showVal val="1"/>
          <c:showCatName val="0"/>
          <c:showSerName val="0"/>
          <c:showPercent val="0"/>
          <c:showBubbleSize val="0"/>
        </c:dLbls>
        <c:gapWidth val="150"/>
        <c:axId val="238680320"/>
        <c:axId val="238768128"/>
      </c:barChart>
      <c:catAx>
        <c:axId val="2386803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768128"/>
        <c:crosses val="autoZero"/>
        <c:auto val="1"/>
        <c:lblAlgn val="ctr"/>
        <c:lblOffset val="100"/>
        <c:noMultiLvlLbl val="0"/>
      </c:catAx>
      <c:valAx>
        <c:axId val="238768128"/>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68032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075"/>
          <c:y val="0.0386666666666667"/>
          <c:w val="0.718175"/>
          <c:h val="0.882733333333333"/>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92092896917018"/>
                  <c:y val="0.0115342174761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5873615187779"/>
                  <c:y val="0.007019231100152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8286656513939"/>
                  <c:y val="0.012204330732434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280401829907"/>
                  <c:y val="0.009433371096892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44866235935164"/>
                  <c:y val="0.00936541921774055"/>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893657476572049"/>
                      <c:h val="0.0995521873923527"/>
                    </c:manualLayout>
                  </c15:layout>
                </c:ext>
              </c:extLst>
            </c:dLbl>
            <c:dLbl>
              <c:idx val="5"/>
              <c:layout>
                <c:manualLayout>
                  <c:x val="0.229940699503812"/>
                  <c:y val="0.0068119891008174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74268925104381"/>
                  <c:y val="0.008514986376021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家人期望</c:v>
                </c:pt>
                <c:pt idx="1">
                  <c:v>其他</c:v>
                </c:pt>
                <c:pt idx="2">
                  <c:v>未找到合适的工作</c:v>
                </c:pt>
                <c:pt idx="3">
                  <c:v>受他人邀请创业</c:v>
                </c:pt>
                <c:pt idx="4">
                  <c:v>有好的创业项目</c:v>
                </c:pt>
                <c:pt idx="5">
                  <c:v>预期可能有更高的收入</c:v>
                </c:pt>
                <c:pt idx="6">
                  <c:v>实现个人理想及价值</c:v>
                </c:pt>
              </c:strCache>
            </c:strRef>
          </c:cat>
          <c:val>
            <c:numRef>
              <c:f>Sheet1!$B$2:$B$8</c:f>
              <c:numCache>
                <c:formatCode>0.00%</c:formatCode>
                <c:ptCount val="7"/>
                <c:pt idx="0">
                  <c:v>0.0833</c:v>
                </c:pt>
                <c:pt idx="1">
                  <c:v>0.1111</c:v>
                </c:pt>
                <c:pt idx="2">
                  <c:v>0.1111</c:v>
                </c:pt>
                <c:pt idx="3">
                  <c:v>0.1389</c:v>
                </c:pt>
                <c:pt idx="4">
                  <c:v>0.1667</c:v>
                </c:pt>
                <c:pt idx="5">
                  <c:v>0.3056</c:v>
                </c:pt>
                <c:pt idx="6">
                  <c:v>0.5694</c:v>
                </c:pt>
              </c:numCache>
            </c:numRef>
          </c:val>
        </c:ser>
        <c:dLbls>
          <c:showLegendKey val="0"/>
          <c:showVal val="1"/>
          <c:showCatName val="0"/>
          <c:showSerName val="0"/>
          <c:showPercent val="0"/>
          <c:showBubbleSize val="0"/>
        </c:dLbls>
        <c:gapWidth val="150"/>
        <c:overlap val="100"/>
        <c:axId val="357314906"/>
        <c:axId val="282956748"/>
      </c:barChart>
      <c:catAx>
        <c:axId val="35731490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2956748"/>
        <c:crosses val="autoZero"/>
        <c:auto val="1"/>
        <c:lblAlgn val="ctr"/>
        <c:lblOffset val="100"/>
        <c:noMultiLvlLbl val="0"/>
      </c:catAx>
      <c:valAx>
        <c:axId val="2829567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73149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900"/>
              <a:t>创业方式</a:t>
            </a:r>
            <a:endParaRPr sz="900"/>
          </a:p>
        </c:rich>
      </c:tx>
      <c:layout/>
      <c:overlay val="0"/>
      <c:spPr>
        <a:noFill/>
        <a:ln>
          <a:noFill/>
        </a:ln>
        <a:effectLst/>
      </c:spPr>
    </c:title>
    <c:autoTitleDeleted val="0"/>
    <c:plotArea>
      <c:layout/>
      <c:pieChart>
        <c:varyColors val="1"/>
        <c:ser>
          <c:idx val="0"/>
          <c:order val="0"/>
          <c:tx>
            <c:strRef>
              <c:f>Sheet1!$B$1</c:f>
              <c:strCache>
                <c:ptCount val="1"/>
                <c:pt idx="0">
                  <c:v>创业方式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个人独立创业</c:v>
                </c:pt>
                <c:pt idx="1">
                  <c:v>带领团队创业</c:v>
                </c:pt>
                <c:pt idx="2">
                  <c:v>与人合伙创业</c:v>
                </c:pt>
                <c:pt idx="3">
                  <c:v>家族创业</c:v>
                </c:pt>
                <c:pt idx="4">
                  <c:v>其他</c:v>
                </c:pt>
              </c:strCache>
            </c:strRef>
          </c:cat>
          <c:val>
            <c:numRef>
              <c:f>Sheet1!$B$2:$B$6</c:f>
              <c:numCache>
                <c:formatCode>0.00%</c:formatCode>
                <c:ptCount val="5"/>
                <c:pt idx="0">
                  <c:v>0.4583</c:v>
                </c:pt>
                <c:pt idx="1">
                  <c:v>0.0139</c:v>
                </c:pt>
                <c:pt idx="2">
                  <c:v>0.2917</c:v>
                </c:pt>
                <c:pt idx="3">
                  <c:v>0.1389</c:v>
                </c:pt>
                <c:pt idx="4">
                  <c:v>0.0972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900"/>
              <a:t>创业类型</a:t>
            </a:r>
            <a:endParaRPr sz="900"/>
          </a:p>
        </c:rich>
      </c:tx>
      <c:layout/>
      <c:overlay val="0"/>
      <c:spPr>
        <a:noFill/>
        <a:ln>
          <a:noFill/>
        </a:ln>
        <a:effectLst/>
      </c:spPr>
    </c:title>
    <c:autoTitleDeleted val="0"/>
    <c:plotArea>
      <c:layout/>
      <c:pieChart>
        <c:varyColors val="1"/>
        <c:ser>
          <c:idx val="0"/>
          <c:order val="0"/>
          <c:tx>
            <c:strRef>
              <c:f>Sheet1!$B$1</c:f>
              <c:strCache>
                <c:ptCount val="1"/>
                <c:pt idx="0">
                  <c:v>创业类型</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11656989727557"/>
                  <c:y val="0.061918681902737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15453327378294"/>
                  <c:y val="0.05766675524847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在独立的场地创立公司（含个体工商户）</c:v>
                </c:pt>
                <c:pt idx="1">
                  <c:v>在孵化机构中创业，含暂未注册或正在注册中</c:v>
                </c:pt>
                <c:pt idx="2">
                  <c:v>电子商务创业，利用互联网平台从事经营活动</c:v>
                </c:pt>
                <c:pt idx="3">
                  <c:v>加盟创业，如餐饮加盟等</c:v>
                </c:pt>
                <c:pt idx="4">
                  <c:v>其他</c:v>
                </c:pt>
              </c:strCache>
            </c:strRef>
          </c:cat>
          <c:val>
            <c:numRef>
              <c:f>Sheet1!$B$2:$B$6</c:f>
              <c:numCache>
                <c:formatCode>0.00%</c:formatCode>
                <c:ptCount val="5"/>
                <c:pt idx="0">
                  <c:v>0.3611</c:v>
                </c:pt>
                <c:pt idx="1">
                  <c:v>0.0417</c:v>
                </c:pt>
                <c:pt idx="2">
                  <c:v>0.0972</c:v>
                </c:pt>
                <c:pt idx="3">
                  <c:v>0.1389</c:v>
                </c:pt>
                <c:pt idx="4">
                  <c:v>0.3611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645225045137993"/>
                  <c:y val="-0.2634801704061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82328475625485"/>
                  <c:y val="-0.1752969326895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94202330652855"/>
                  <c:y val="-0.1337417648875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125"/>
                  <c:y val="-0.068833333333333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25983363425331"/>
                  <c:y val="-0.049338492852409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0.047145697245100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个人积累</c:v>
                </c:pt>
                <c:pt idx="1">
                  <c:v>父母资助</c:v>
                </c:pt>
                <c:pt idx="2">
                  <c:v>其他</c:v>
                </c:pt>
                <c:pt idx="3">
                  <c:v>大学生创业贷款</c:v>
                </c:pt>
                <c:pt idx="4">
                  <c:v>创业扶持基金</c:v>
                </c:pt>
                <c:pt idx="5">
                  <c:v>风险投资</c:v>
                </c:pt>
              </c:strCache>
            </c:strRef>
          </c:cat>
          <c:val>
            <c:numRef>
              <c:f>Sheet1!$B$2:$B$7</c:f>
              <c:numCache>
                <c:formatCode>0.00%</c:formatCode>
                <c:ptCount val="6"/>
                <c:pt idx="0">
                  <c:v>0.4861</c:v>
                </c:pt>
                <c:pt idx="1">
                  <c:v>0.2361</c:v>
                </c:pt>
                <c:pt idx="2">
                  <c:v>0.1528</c:v>
                </c:pt>
                <c:pt idx="3">
                  <c:v>0.0694</c:v>
                </c:pt>
                <c:pt idx="4">
                  <c:v>0.0278</c:v>
                </c:pt>
                <c:pt idx="5">
                  <c:v>0.0278</c:v>
                </c:pt>
              </c:numCache>
            </c:numRef>
          </c:val>
        </c:ser>
        <c:dLbls>
          <c:showLegendKey val="0"/>
          <c:showVal val="1"/>
          <c:showCatName val="0"/>
          <c:showSerName val="0"/>
          <c:showPercent val="0"/>
          <c:showBubbleSize val="0"/>
        </c:dLbls>
        <c:gapWidth val="150"/>
        <c:overlap val="100"/>
        <c:axId val="905036802"/>
        <c:axId val="517779523"/>
      </c:barChart>
      <c:catAx>
        <c:axId val="9050368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7779523"/>
        <c:crosses val="autoZero"/>
        <c:auto val="1"/>
        <c:lblAlgn val="ctr"/>
        <c:lblOffset val="100"/>
        <c:noMultiLvlLbl val="0"/>
      </c:catAx>
      <c:valAx>
        <c:axId val="5177795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503680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75"/>
          <c:y val="0.0366666666666667"/>
          <c:w val="0.87205"/>
          <c:h val="0.807566666666667"/>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rgbClr val="92D050"/>
              </a:solidFill>
              <a:ln>
                <a:noFill/>
              </a:ln>
              <a:effectLst/>
            </c:spPr>
          </c:dPt>
          <c:dPt>
            <c:idx val="3"/>
            <c:invertIfNegative val="0"/>
            <c:bubble3D val="0"/>
            <c:spPr>
              <a:solidFill>
                <a:srgbClr val="FFFF00"/>
              </a:solidFill>
              <a:ln>
                <a:noFill/>
              </a:ln>
              <a:effectLst/>
            </c:spPr>
          </c:dPt>
          <c:dPt>
            <c:idx val="4"/>
            <c:invertIfNegative val="0"/>
            <c:bubble3D val="0"/>
            <c:spPr>
              <a:solidFill>
                <a:schemeClr val="bg1">
                  <a:lumMod val="75000"/>
                </a:schemeClr>
              </a:solidFill>
              <a:ln>
                <a:noFill/>
              </a:ln>
              <a:effectLst/>
            </c:spPr>
          </c:dPt>
          <c:dLbls>
            <c:dLbl>
              <c:idx val="0"/>
              <c:layout>
                <c:manualLayout>
                  <c:x val="-0.00312161454697752"/>
                  <c:y val="-0.3645420066485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62161454697751"/>
                  <c:y val="-0.3933854638863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107915677788636"/>
                      <c:h val="0.0666364460562103"/>
                    </c:manualLayout>
                  </c15:layout>
                </c:ext>
              </c:extLst>
            </c:dLbl>
            <c:dLbl>
              <c:idx val="2"/>
              <c:layout>
                <c:manualLayout>
                  <c:x val="0.00460362278374983"/>
                  <c:y val="-0.2273399818676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99830727348874"/>
                  <c:y val="-0.0925203989120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08536227837498"/>
                  <c:y val="-0.044854941069809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非常支持</c:v>
                </c:pt>
                <c:pt idx="1">
                  <c:v>比较支持</c:v>
                </c:pt>
                <c:pt idx="2">
                  <c:v>中立，不反对</c:v>
                </c:pt>
                <c:pt idx="3">
                  <c:v>比较反对</c:v>
                </c:pt>
                <c:pt idx="4">
                  <c:v>非常反对</c:v>
                </c:pt>
              </c:strCache>
            </c:strRef>
          </c:cat>
          <c:val>
            <c:numRef>
              <c:f>Sheet1!$B$2:$B$6</c:f>
              <c:numCache>
                <c:formatCode>0.00%</c:formatCode>
                <c:ptCount val="5"/>
                <c:pt idx="0">
                  <c:v>0.3472</c:v>
                </c:pt>
                <c:pt idx="1">
                  <c:v>0.4028</c:v>
                </c:pt>
                <c:pt idx="2">
                  <c:v>0.2083</c:v>
                </c:pt>
                <c:pt idx="3">
                  <c:v>0.0417</c:v>
                </c:pt>
                <c:pt idx="4">
                  <c:v>0</c:v>
                </c:pt>
              </c:numCache>
            </c:numRef>
          </c:val>
        </c:ser>
        <c:dLbls>
          <c:showLegendKey val="0"/>
          <c:showVal val="1"/>
          <c:showCatName val="0"/>
          <c:showSerName val="0"/>
          <c:showPercent val="0"/>
          <c:showBubbleSize val="0"/>
        </c:dLbls>
        <c:gapWidth val="150"/>
        <c:overlap val="100"/>
        <c:axId val="379151515"/>
        <c:axId val="637819534"/>
      </c:barChart>
      <c:catAx>
        <c:axId val="3791515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7819534"/>
        <c:crosses val="autoZero"/>
        <c:auto val="1"/>
        <c:lblAlgn val="ctr"/>
        <c:lblOffset val="100"/>
        <c:noMultiLvlLbl val="0"/>
      </c:catAx>
      <c:valAx>
        <c:axId val="63781953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91515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96875"/>
                  <c:y val="0.0041666666666666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3459685598377"/>
                  <c:y val="0.01139827133677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9853891765854"/>
                  <c:y val="0.0044444444444444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8026115618661"/>
                  <c:y val="0.0066158023350529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3344531719035"/>
                  <c:y val="0.006331764563912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8815147429612"/>
                  <c:y val="0.006722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28599353448276"/>
                  <c:y val="0.0023317645639122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上网浏览信息，寻找创业机会</c:v>
                </c:pt>
                <c:pt idx="1">
                  <c:v>研读创业书籍</c:v>
                </c:pt>
                <c:pt idx="2">
                  <c:v>学习创业课程</c:v>
                </c:pt>
                <c:pt idx="3">
                  <c:v>其他</c:v>
                </c:pt>
                <c:pt idx="4">
                  <c:v>多和朋友沟通，整合身边资源</c:v>
                </c:pt>
                <c:pt idx="5">
                  <c:v>向成功创业者学习</c:v>
                </c:pt>
                <c:pt idx="6">
                  <c:v>在社会实践中积累经验</c:v>
                </c:pt>
              </c:strCache>
            </c:strRef>
          </c:cat>
          <c:val>
            <c:numRef>
              <c:f>Sheet1!$B$2:$B$8</c:f>
              <c:numCache>
                <c:formatCode>0.00%</c:formatCode>
                <c:ptCount val="7"/>
                <c:pt idx="0">
                  <c:v>0.1111</c:v>
                </c:pt>
                <c:pt idx="1">
                  <c:v>0.1389</c:v>
                </c:pt>
                <c:pt idx="2">
                  <c:v>0.1528</c:v>
                </c:pt>
                <c:pt idx="3">
                  <c:v>0.1667</c:v>
                </c:pt>
                <c:pt idx="4">
                  <c:v>0.3611</c:v>
                </c:pt>
                <c:pt idx="5">
                  <c:v>0.4722</c:v>
                </c:pt>
                <c:pt idx="6">
                  <c:v>0.5694</c:v>
                </c:pt>
              </c:numCache>
            </c:numRef>
          </c:val>
        </c:ser>
        <c:dLbls>
          <c:showLegendKey val="0"/>
          <c:showVal val="1"/>
          <c:showCatName val="0"/>
          <c:showSerName val="0"/>
          <c:showPercent val="0"/>
          <c:showBubbleSize val="0"/>
        </c:dLbls>
        <c:gapWidth val="150"/>
        <c:overlap val="100"/>
        <c:axId val="107927122"/>
        <c:axId val="688631083"/>
      </c:barChart>
      <c:catAx>
        <c:axId val="107927122"/>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8631083"/>
        <c:crosses val="autoZero"/>
        <c:auto val="1"/>
        <c:lblAlgn val="ctr"/>
        <c:lblOffset val="100"/>
        <c:noMultiLvlLbl val="0"/>
      </c:catAx>
      <c:valAx>
        <c:axId val="68863108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92712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2"/>
              </a:solidFill>
              <a:ln w="19050">
                <a:solidFill>
                  <a:schemeClr val="lt1"/>
                </a:solidFill>
              </a:ln>
              <a:effectLst/>
            </c:spPr>
          </c:dPt>
          <c:dPt>
            <c:idx val="1"/>
            <c:bubble3D val="0"/>
            <c:spPr>
              <a:solidFill>
                <a:schemeClr val="accent1">
                  <a:lumMod val="75000"/>
                </a:schemeClr>
              </a:solidFill>
              <a:ln w="19050">
                <a:solidFill>
                  <a:schemeClr val="lt1"/>
                </a:solidFill>
              </a:ln>
              <a:effectLst/>
            </c:spPr>
          </c:dPt>
          <c:dLbls>
            <c:dLbl>
              <c:idx val="0"/>
              <c:layout>
                <c:manualLayout>
                  <c:x val="-0.130359500935517"/>
                  <c:y val="0.083964516262805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32.13%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57282381251571"/>
                  <c:y val="-0.13127028846209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67.87%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44245790661344"/>
                      <c:h val="0.053824362606232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邵阳地区就业</c:v>
                </c:pt>
                <c:pt idx="1">
                  <c:v>其他地区就业</c:v>
                </c:pt>
              </c:strCache>
            </c:strRef>
          </c:cat>
          <c:val>
            <c:numRef>
              <c:f>Sheet1!$B$2:$B$3</c:f>
              <c:numCache>
                <c:formatCode>General</c:formatCode>
                <c:ptCount val="2"/>
                <c:pt idx="0">
                  <c:v>32.13</c:v>
                </c:pt>
                <c:pt idx="1">
                  <c:v>67.87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64118214679574"/>
                  <c:y val="0.008219178082191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37029775762774"/>
                  <c:y val="-6.74553756745915e-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33245772576894"/>
                  <c:y val="-0.0020674553756745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965728770983944"/>
                  <c:y val="-0.0060525114155250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14880988849409"/>
                  <c:y val="0.00840078870900791"/>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694767798063963"/>
                      <c:h val="0.0899128268991283"/>
                    </c:manualLayout>
                  </c15:layout>
                </c:ext>
              </c:extLst>
            </c:dLbl>
            <c:dLbl>
              <c:idx val="5"/>
              <c:layout>
                <c:manualLayout>
                  <c:x val="0.104179941183679"/>
                  <c:y val="0.001999999999999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22683341502267"/>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46764719397133"/>
                  <c:y val="0.008219178082191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57249417963485"/>
                  <c:y val="0.012385844748858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171547604460238"/>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179757382673692"/>
                  <c:y val="-0.004234122042341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30633500796471"/>
                  <c:y val="0.004234122042341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Sheet1!$A$2:$A$13</c:f>
              <c:strCache>
                <c:ptCount val="12"/>
                <c:pt idx="0">
                  <c:v>创业项目的选取</c:v>
                </c:pt>
                <c:pt idx="1">
                  <c:v>办公场所、设备等软硬件环境的准备</c:v>
                </c:pt>
                <c:pt idx="2">
                  <c:v>政策环境不利</c:v>
                </c:pt>
                <c:pt idx="3">
                  <c:v>产品、服务的定位与开发</c:v>
                </c:pt>
                <c:pt idx="4">
                  <c:v>企业创办手续审批</c:v>
                </c:pt>
                <c:pt idx="5">
                  <c:v>产品、服务的变现</c:v>
                </c:pt>
                <c:pt idx="6">
                  <c:v>创业团队组建</c:v>
                </c:pt>
                <c:pt idx="7">
                  <c:v>创业相关知识、技能的缺乏</c:v>
                </c:pt>
                <c:pt idx="8">
                  <c:v>社会关系缺乏</c:v>
                </c:pt>
                <c:pt idx="9">
                  <c:v>其他</c:v>
                </c:pt>
                <c:pt idx="10">
                  <c:v>市场推广</c:v>
                </c:pt>
                <c:pt idx="11">
                  <c:v>资金筹备</c:v>
                </c:pt>
              </c:strCache>
            </c:strRef>
          </c:cat>
          <c:val>
            <c:numRef>
              <c:f>Sheet1!$B$2:$B$13</c:f>
              <c:numCache>
                <c:formatCode>0.00%</c:formatCode>
                <c:ptCount val="12"/>
                <c:pt idx="0">
                  <c:v>0.0417</c:v>
                </c:pt>
                <c:pt idx="1">
                  <c:v>0.0694</c:v>
                </c:pt>
                <c:pt idx="2">
                  <c:v>0.0833</c:v>
                </c:pt>
                <c:pt idx="3">
                  <c:v>0.0833</c:v>
                </c:pt>
                <c:pt idx="4">
                  <c:v>0.0972</c:v>
                </c:pt>
                <c:pt idx="5">
                  <c:v>0.1111</c:v>
                </c:pt>
                <c:pt idx="6">
                  <c:v>0.125</c:v>
                </c:pt>
                <c:pt idx="7">
                  <c:v>0.1667</c:v>
                </c:pt>
                <c:pt idx="8">
                  <c:v>0.1944</c:v>
                </c:pt>
                <c:pt idx="9">
                  <c:v>0.2222</c:v>
                </c:pt>
                <c:pt idx="10">
                  <c:v>0.2222</c:v>
                </c:pt>
                <c:pt idx="11">
                  <c:v>0.4444</c:v>
                </c:pt>
              </c:numCache>
            </c:numRef>
          </c:val>
        </c:ser>
        <c:dLbls>
          <c:showLegendKey val="0"/>
          <c:showVal val="1"/>
          <c:showCatName val="0"/>
          <c:showSerName val="0"/>
          <c:showPercent val="0"/>
          <c:showBubbleSize val="0"/>
        </c:dLbls>
        <c:gapWidth val="150"/>
        <c:overlap val="100"/>
        <c:axId val="427211606"/>
        <c:axId val="445160341"/>
      </c:barChart>
      <c:catAx>
        <c:axId val="42721160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5160341"/>
        <c:crosses val="autoZero"/>
        <c:auto val="1"/>
        <c:lblAlgn val="ctr"/>
        <c:lblOffset val="100"/>
        <c:noMultiLvlLbl val="0"/>
      </c:catAx>
      <c:valAx>
        <c:axId val="44516034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72116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71278871677269"/>
                  <c:y val="-0.30072752508054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有影响</c:v>
                </c:pt>
                <c:pt idx="1">
                  <c:v>无影响</c:v>
                </c:pt>
              </c:strCache>
            </c:strRef>
          </c:cat>
          <c:val>
            <c:numRef>
              <c:f>Sheet1!$B$2:$B$3</c:f>
              <c:numCache>
                <c:formatCode>0.00%</c:formatCode>
                <c:ptCount val="2"/>
                <c:pt idx="0">
                  <c:v>0.913</c:v>
                </c:pt>
                <c:pt idx="1">
                  <c:v>0.087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884989139133"/>
          <c:y val="0.0494639376218324"/>
          <c:w val="0.659929118554933"/>
          <c:h val="0.828557504873294"/>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108037041271293"/>
                  <c:y val="-0.0080409356725146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6268434891963"/>
                  <c:y val="0.0051169590643274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37532868412027"/>
                  <c:y val="-0.002192982456140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53424031096376"/>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67371670286956"/>
                  <c:y val="0.0063352826510721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54487252772379"/>
                  <c:y val="0.002192982456140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55287527152166"/>
                  <c:y val="-0.0070662768031189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63861895507031"/>
                  <c:y val="-0.0041423001949317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68697210472162"/>
                  <c:y val="-0.006822612085769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327769520978621"/>
                  <c:y val="0.0082846003898635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熟悉创业政策与环境</c:v>
                </c:pt>
                <c:pt idx="1">
                  <c:v>其他</c:v>
                </c:pt>
                <c:pt idx="2">
                  <c:v>获取资源的能力</c:v>
                </c:pt>
                <c:pt idx="3">
                  <c:v>承受与规避风险能力</c:v>
                </c:pt>
                <c:pt idx="4">
                  <c:v>自我调节能力</c:v>
                </c:pt>
                <c:pt idx="5">
                  <c:v>把握机会能力</c:v>
                </c:pt>
                <c:pt idx="6">
                  <c:v>管理领导能力</c:v>
                </c:pt>
                <c:pt idx="7">
                  <c:v>沟通协调与处理社会关系能力</c:v>
                </c:pt>
                <c:pt idx="8">
                  <c:v>持续学习能力</c:v>
                </c:pt>
                <c:pt idx="9">
                  <c:v>专业基础知识</c:v>
                </c:pt>
              </c:strCache>
            </c:strRef>
          </c:cat>
          <c:val>
            <c:numRef>
              <c:f>Sheet1!$B$2:$B$11</c:f>
              <c:numCache>
                <c:formatCode>0.00%</c:formatCode>
                <c:ptCount val="10"/>
                <c:pt idx="0">
                  <c:v>0.0972</c:v>
                </c:pt>
                <c:pt idx="1">
                  <c:v>0.1111</c:v>
                </c:pt>
                <c:pt idx="2">
                  <c:v>0.1389</c:v>
                </c:pt>
                <c:pt idx="3">
                  <c:v>0.1667</c:v>
                </c:pt>
                <c:pt idx="4">
                  <c:v>0.1806</c:v>
                </c:pt>
                <c:pt idx="5">
                  <c:v>0.3194</c:v>
                </c:pt>
                <c:pt idx="6">
                  <c:v>0.3194</c:v>
                </c:pt>
                <c:pt idx="7">
                  <c:v>0.3333</c:v>
                </c:pt>
                <c:pt idx="8">
                  <c:v>0.3333</c:v>
                </c:pt>
                <c:pt idx="9">
                  <c:v>0.4306</c:v>
                </c:pt>
              </c:numCache>
            </c:numRef>
          </c:val>
        </c:ser>
        <c:dLbls>
          <c:showLegendKey val="0"/>
          <c:showVal val="0"/>
          <c:showCatName val="0"/>
          <c:showSerName val="0"/>
          <c:showPercent val="0"/>
          <c:showBubbleSize val="0"/>
        </c:dLbls>
        <c:gapWidth val="150"/>
        <c:overlap val="100"/>
        <c:axId val="43740998"/>
        <c:axId val="678709498"/>
      </c:barChart>
      <c:catAx>
        <c:axId val="4374099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709498"/>
        <c:crosses val="autoZero"/>
        <c:auto val="1"/>
        <c:lblAlgn val="ctr"/>
        <c:lblOffset val="100"/>
        <c:noMultiLvlLbl val="0"/>
      </c:catAx>
      <c:valAx>
        <c:axId val="67870949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4099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884989139133"/>
          <c:y val="0.0494639376218324"/>
          <c:w val="0.659929118554933"/>
          <c:h val="0.828557504873294"/>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76266148393736"/>
                  <c:y val="0.01218323586744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70618497770664"/>
                  <c:y val="0.017300194931773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7236766891506"/>
                  <c:y val="0.01413255360623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0559048816737"/>
                  <c:y val="0.006091617933723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61541099805648"/>
                  <c:y val="0.002192982456140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62912998742426"/>
                  <c:y val="0.002192982456140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84749056819481"/>
                  <c:y val="0.001218323586744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99153995655654"/>
                  <c:y val="0.012426900584795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30676740596776"/>
                  <c:y val="0.00925925925925926"/>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866582828398308"/>
                      <c:h val="0.0557992202729045"/>
                    </c:manualLayout>
                  </c15:layout>
                </c:ext>
              </c:extLst>
            </c:dLbl>
            <c:dLbl>
              <c:idx val="9"/>
              <c:layout>
                <c:manualLayout>
                  <c:x val="0.318280553332571"/>
                  <c:y val="-0.01218323586744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创业师资队伍建设</c:v>
                </c:pt>
                <c:pt idx="1">
                  <c:v>创新创业大赛</c:v>
                </c:pt>
                <c:pt idx="2">
                  <c:v>创业协会或俱乐部</c:v>
                </c:pt>
                <c:pt idx="3">
                  <c:v>创业项目孵化</c:v>
                </c:pt>
                <c:pt idx="4">
                  <c:v>在线创业课资源</c:v>
                </c:pt>
                <c:pt idx="5">
                  <c:v>创业实训与模拟</c:v>
                </c:pt>
                <c:pt idx="6">
                  <c:v>创业讲座或论坛</c:v>
                </c:pt>
                <c:pt idx="7">
                  <c:v>其他</c:v>
                </c:pt>
                <c:pt idx="8">
                  <c:v>提供资金与平台</c:v>
                </c:pt>
                <c:pt idx="9">
                  <c:v>创业相关课程</c:v>
                </c:pt>
              </c:strCache>
            </c:strRef>
          </c:cat>
          <c:val>
            <c:numRef>
              <c:f>Sheet1!$B$2:$B$11</c:f>
              <c:numCache>
                <c:formatCode>0.00%</c:formatCode>
                <c:ptCount val="10"/>
                <c:pt idx="0">
                  <c:v>0.0417</c:v>
                </c:pt>
                <c:pt idx="1">
                  <c:v>0.0694</c:v>
                </c:pt>
                <c:pt idx="2">
                  <c:v>0.0972</c:v>
                </c:pt>
                <c:pt idx="3">
                  <c:v>0.125</c:v>
                </c:pt>
                <c:pt idx="4">
                  <c:v>0.1667</c:v>
                </c:pt>
                <c:pt idx="5">
                  <c:v>0.1667</c:v>
                </c:pt>
                <c:pt idx="6">
                  <c:v>0.2083</c:v>
                </c:pt>
                <c:pt idx="7">
                  <c:v>0.2222</c:v>
                </c:pt>
                <c:pt idx="8">
                  <c:v>0.3889</c:v>
                </c:pt>
                <c:pt idx="9">
                  <c:v>0.4028</c:v>
                </c:pt>
              </c:numCache>
            </c:numRef>
          </c:val>
        </c:ser>
        <c:dLbls>
          <c:showLegendKey val="0"/>
          <c:showVal val="0"/>
          <c:showCatName val="0"/>
          <c:showSerName val="0"/>
          <c:showPercent val="0"/>
          <c:showBubbleSize val="0"/>
        </c:dLbls>
        <c:gapWidth val="150"/>
        <c:overlap val="100"/>
        <c:axId val="43740998"/>
        <c:axId val="678709498"/>
      </c:barChart>
      <c:catAx>
        <c:axId val="4374099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709498"/>
        <c:crosses val="autoZero"/>
        <c:auto val="1"/>
        <c:lblAlgn val="ctr"/>
        <c:lblOffset val="100"/>
        <c:noMultiLvlLbl val="0"/>
      </c:catAx>
      <c:valAx>
        <c:axId val="67870949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4099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574468085106"/>
          <c:y val="0.0609487038058467"/>
          <c:w val="0.843829787234043"/>
          <c:h val="0.79453943739658"/>
        </c:manualLayout>
      </c:layout>
      <c:barChart>
        <c:barDir val="col"/>
        <c:grouping val="clustered"/>
        <c:varyColors val="0"/>
        <c:ser>
          <c:idx val="0"/>
          <c:order val="0"/>
          <c:tx>
            <c:strRef>
              <c:f>Sheet1!$B$1</c:f>
              <c:strCache>
                <c:ptCount val="1"/>
                <c:pt idx="0">
                  <c:v>系列 1</c:v>
                </c:pt>
              </c:strCache>
            </c:strRef>
          </c:tx>
          <c:invertIfNegative val="0"/>
          <c:dPt>
            <c:idx val="1"/>
            <c:invertIfNegative val="0"/>
            <c:bubble3D val="0"/>
            <c:spPr>
              <a:solidFill>
                <a:srgbClr val="FF6600"/>
              </a:solidFill>
            </c:spPr>
          </c:dPt>
          <c:dPt>
            <c:idx val="2"/>
            <c:invertIfNegative val="0"/>
            <c:bubble3D val="0"/>
            <c:spPr>
              <a:solidFill>
                <a:schemeClr val="bg1">
                  <a:lumMod val="65000"/>
                </a:schemeClr>
              </a:solidFill>
            </c:spPr>
          </c:dPt>
          <c:dPt>
            <c:idx val="3"/>
            <c:invertIfNegative val="0"/>
            <c:bubble3D val="0"/>
            <c:spPr>
              <a:solidFill>
                <a:srgbClr val="FFC000"/>
              </a:solidFill>
            </c:spPr>
          </c:dPt>
          <c:dPt>
            <c:idx val="4"/>
            <c:invertIfNegative val="0"/>
            <c:bubble3D val="0"/>
            <c:spPr>
              <a:solidFill>
                <a:srgbClr val="00B050"/>
              </a:solidFill>
            </c:spPr>
          </c:dPt>
          <c:dLbls>
            <c:dLbl>
              <c:idx val="0"/>
              <c:layout>
                <c:manualLayout>
                  <c:x val="-0.00226950354609929"/>
                  <c:y val="0.03226696083838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567375886524823"/>
                  <c:y val="0.017374517374517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68085106382979"/>
                  <c:y val="0.00082735797021511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4113475177305"/>
                  <c:y val="-0.005515719801434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539007092198582"/>
                  <c:y val="0.012686155543298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非常相关</c:v>
                </c:pt>
                <c:pt idx="1">
                  <c:v>比较相关</c:v>
                </c:pt>
                <c:pt idx="2">
                  <c:v>相关</c:v>
                </c:pt>
                <c:pt idx="3">
                  <c:v>不太相关</c:v>
                </c:pt>
                <c:pt idx="4">
                  <c:v>不相关</c:v>
                </c:pt>
              </c:strCache>
            </c:strRef>
          </c:cat>
          <c:val>
            <c:numRef>
              <c:f>Sheet1!$B$2:$B$6</c:f>
              <c:numCache>
                <c:formatCode>0.00%</c:formatCode>
                <c:ptCount val="5"/>
                <c:pt idx="0">
                  <c:v>0.0216</c:v>
                </c:pt>
                <c:pt idx="1">
                  <c:v>0.1164</c:v>
                </c:pt>
                <c:pt idx="2">
                  <c:v>0.1379</c:v>
                </c:pt>
                <c:pt idx="3">
                  <c:v>0.4871</c:v>
                </c:pt>
                <c:pt idx="4">
                  <c:v>0.237</c:v>
                </c:pt>
              </c:numCache>
            </c:numRef>
          </c:val>
        </c:ser>
        <c:dLbls>
          <c:showLegendKey val="0"/>
          <c:showVal val="1"/>
          <c:showCatName val="0"/>
          <c:showSerName val="0"/>
          <c:showPercent val="0"/>
          <c:showBubbleSize val="0"/>
        </c:dLbls>
        <c:gapWidth val="150"/>
        <c:axId val="238680320"/>
        <c:axId val="238768128"/>
      </c:barChart>
      <c:catAx>
        <c:axId val="2386803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768128"/>
        <c:crosses val="autoZero"/>
        <c:auto val="1"/>
        <c:lblAlgn val="ctr"/>
        <c:lblOffset val="100"/>
        <c:noMultiLvlLbl val="0"/>
      </c:catAx>
      <c:valAx>
        <c:axId val="238768128"/>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68032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Pt>
            <c:idx val="1"/>
            <c:invertIfNegative val="0"/>
            <c:bubble3D val="0"/>
            <c:spPr>
              <a:solidFill>
                <a:srgbClr val="FF6600"/>
              </a:solidFill>
            </c:spPr>
          </c:dPt>
          <c:dPt>
            <c:idx val="2"/>
            <c:invertIfNegative val="0"/>
            <c:bubble3D val="0"/>
            <c:spPr>
              <a:solidFill>
                <a:schemeClr val="bg1">
                  <a:lumMod val="65000"/>
                </a:schemeClr>
              </a:solidFill>
            </c:spPr>
          </c:dPt>
          <c:dPt>
            <c:idx val="3"/>
            <c:invertIfNegative val="0"/>
            <c:bubble3D val="0"/>
            <c:spPr>
              <a:solidFill>
                <a:srgbClr val="FFC000"/>
              </a:solidFill>
            </c:spPr>
          </c:dPt>
          <c:dPt>
            <c:idx val="4"/>
            <c:invertIfNegative val="0"/>
            <c:bubble3D val="0"/>
            <c:spPr>
              <a:solidFill>
                <a:srgbClr val="00B050"/>
              </a:solidFill>
            </c:spPr>
          </c:dPt>
          <c:dLbls>
            <c:dLbl>
              <c:idx val="0"/>
              <c:layout>
                <c:manualLayout>
                  <c:x val="-0.00226950354609929"/>
                  <c:y val="0.03226696083838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26950354609929"/>
                  <c:y val="-0.013789299503585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68085106382979"/>
                  <c:y val="-0.036955322669608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68085106382979"/>
                  <c:y val="-0.036679536679536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0091009376723663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非常一致</c:v>
                </c:pt>
                <c:pt idx="1">
                  <c:v>比较一致</c:v>
                </c:pt>
                <c:pt idx="2">
                  <c:v>一致</c:v>
                </c:pt>
                <c:pt idx="3">
                  <c:v>不太一致</c:v>
                </c:pt>
                <c:pt idx="4">
                  <c:v>不一致</c:v>
                </c:pt>
              </c:strCache>
            </c:strRef>
          </c:cat>
          <c:val>
            <c:numRef>
              <c:f>Sheet1!$B$2:$B$6</c:f>
              <c:numCache>
                <c:formatCode>0.00%</c:formatCode>
                <c:ptCount val="5"/>
                <c:pt idx="0">
                  <c:v>0.0388</c:v>
                </c:pt>
                <c:pt idx="1">
                  <c:v>0.1724</c:v>
                </c:pt>
                <c:pt idx="2">
                  <c:v>0.1207</c:v>
                </c:pt>
                <c:pt idx="3">
                  <c:v>0.4828</c:v>
                </c:pt>
                <c:pt idx="4">
                  <c:v>0.1853</c:v>
                </c:pt>
              </c:numCache>
            </c:numRef>
          </c:val>
        </c:ser>
        <c:dLbls>
          <c:showLegendKey val="0"/>
          <c:showVal val="1"/>
          <c:showCatName val="0"/>
          <c:showSerName val="0"/>
          <c:showPercent val="0"/>
          <c:showBubbleSize val="0"/>
        </c:dLbls>
        <c:gapWidth val="150"/>
        <c:axId val="238680320"/>
        <c:axId val="238768128"/>
      </c:barChart>
      <c:catAx>
        <c:axId val="23868032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768128"/>
        <c:crosses val="autoZero"/>
        <c:auto val="1"/>
        <c:lblAlgn val="ctr"/>
        <c:lblOffset val="100"/>
        <c:noMultiLvlLbl val="0"/>
      </c:catAx>
      <c:valAx>
        <c:axId val="238768128"/>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68032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33564845732603"/>
                  <c:y val="-0.23756906077348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33912114331508"/>
                  <c:y val="-0.3230843141964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868171497261921"/>
                  <c:y val="-0.2231563776122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87338052624549"/>
                  <c:y val="-0.097766034110016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333912114331508"/>
                  <c:y val="-0.082872928176795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41405102177107"/>
                  <c:y val="-0.05693009848666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747963136102578"/>
                  <c:y val="-0.05092481383617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667824228663016"/>
                  <c:y val="-0.040115301465289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100173634299452"/>
                  <c:y val="-0.0341100168147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894884466408441"/>
                  <c:y val="-0.052125870766274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3000元以下</c:v>
                </c:pt>
                <c:pt idx="1">
                  <c:v>3001-4000元</c:v>
                </c:pt>
                <c:pt idx="2">
                  <c:v>4001-5000元</c:v>
                </c:pt>
                <c:pt idx="3">
                  <c:v>5001-6000元</c:v>
                </c:pt>
                <c:pt idx="4">
                  <c:v>6001-7000元</c:v>
                </c:pt>
                <c:pt idx="5">
                  <c:v>7001-8000元</c:v>
                </c:pt>
                <c:pt idx="6">
                  <c:v>8001-9000元</c:v>
                </c:pt>
                <c:pt idx="7">
                  <c:v>9001-10000元</c:v>
                </c:pt>
                <c:pt idx="8">
                  <c:v>10001-15000元</c:v>
                </c:pt>
                <c:pt idx="9">
                  <c:v>15000元以上</c:v>
                </c:pt>
              </c:strCache>
            </c:strRef>
          </c:cat>
          <c:val>
            <c:numRef>
              <c:f>Sheet1!$B$2:$B$11</c:f>
              <c:numCache>
                <c:formatCode>0.00%</c:formatCode>
                <c:ptCount val="10"/>
                <c:pt idx="0">
                  <c:v>0.2673</c:v>
                </c:pt>
                <c:pt idx="1">
                  <c:v>0.3405</c:v>
                </c:pt>
                <c:pt idx="2">
                  <c:v>0.2198</c:v>
                </c:pt>
                <c:pt idx="3">
                  <c:v>0.0776</c:v>
                </c:pt>
                <c:pt idx="4">
                  <c:v>0.0517</c:v>
                </c:pt>
                <c:pt idx="5">
                  <c:v>0.0216</c:v>
                </c:pt>
                <c:pt idx="6">
                  <c:v>0</c:v>
                </c:pt>
                <c:pt idx="7">
                  <c:v>0.0043</c:v>
                </c:pt>
                <c:pt idx="8">
                  <c:v>0.0043</c:v>
                </c:pt>
                <c:pt idx="9">
                  <c:v>0.0129</c:v>
                </c:pt>
              </c:numCache>
            </c:numRef>
          </c:val>
        </c:ser>
        <c:dLbls>
          <c:showLegendKey val="0"/>
          <c:showVal val="0"/>
          <c:showCatName val="0"/>
          <c:showSerName val="0"/>
          <c:showPercent val="0"/>
          <c:showBubbleSize val="0"/>
        </c:dLbls>
        <c:gapWidth val="150"/>
        <c:overlap val="100"/>
        <c:axId val="322658713"/>
        <c:axId val="374269042"/>
      </c:barChart>
      <c:catAx>
        <c:axId val="3226587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4269042"/>
        <c:crosses val="autoZero"/>
        <c:auto val="1"/>
        <c:lblAlgn val="ctr"/>
        <c:lblOffset val="100"/>
        <c:noMultiLvlLbl val="0"/>
      </c:catAx>
      <c:valAx>
        <c:axId val="37426904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26587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49556285202586"/>
                  <c:y val="0.001954483439954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52157721577483"/>
                  <c:y val="0.0001259361025806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28195607976667"/>
                  <c:y val="0.001295196460828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977184780824247"/>
                  <c:y val="-0.003411073365245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90170232757494"/>
                  <c:y val="-0.002021461616109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970066705274051"/>
                  <c:y val="0.0017921529520713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03813681817491"/>
                  <c:y val="0.0041666666666666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851199591628382"/>
                      <c:h val="0.0449329238726362"/>
                    </c:manualLayout>
                  </c15:layout>
                </c:ext>
              </c:extLst>
            </c:dLbl>
            <c:dLbl>
              <c:idx val="7"/>
              <c:layout>
                <c:manualLayout>
                  <c:x val="0.104442390946251"/>
                  <c:y val="0.0006796988808346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143302809435226"/>
                  <c:y val="0.006969007056935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29542550472783"/>
                  <c:y val="0.0095597484276729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32951907743419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Sheet1!$A$2:$A$12</c:f>
              <c:strCache>
                <c:ptCount val="11"/>
                <c:pt idx="0">
                  <c:v>沟通能力、面试技巧不足</c:v>
                </c:pt>
                <c:pt idx="1">
                  <c:v>专业知识与就业市场需求脱节</c:v>
                </c:pt>
                <c:pt idx="2">
                  <c:v>没有满足自我要求的工作</c:v>
                </c:pt>
                <c:pt idx="3">
                  <c:v>求职信心不足</c:v>
                </c:pt>
                <c:pt idx="4">
                  <c:v>专业不对口，就业面窄</c:v>
                </c:pt>
                <c:pt idx="5">
                  <c:v>对未来的职业规划思考不足</c:v>
                </c:pt>
                <c:pt idx="6">
                  <c:v>没有足够的岗位信息可选择</c:v>
                </c:pt>
                <c:pt idx="7">
                  <c:v>招聘信息获取渠道较少</c:v>
                </c:pt>
                <c:pt idx="8">
                  <c:v>其他</c:v>
                </c:pt>
                <c:pt idx="9">
                  <c:v>有工作意向，还在观望</c:v>
                </c:pt>
                <c:pt idx="10">
                  <c:v>缺乏相关实习、实践经验</c:v>
                </c:pt>
              </c:strCache>
            </c:strRef>
          </c:cat>
          <c:val>
            <c:numRef>
              <c:f>Sheet1!$B$2:$B$12</c:f>
              <c:numCache>
                <c:formatCode>0.00%</c:formatCode>
                <c:ptCount val="11"/>
                <c:pt idx="0">
                  <c:v>0.0287</c:v>
                </c:pt>
                <c:pt idx="1">
                  <c:v>0.0335</c:v>
                </c:pt>
                <c:pt idx="2">
                  <c:v>0.0383</c:v>
                </c:pt>
                <c:pt idx="3">
                  <c:v>0.0479</c:v>
                </c:pt>
                <c:pt idx="4">
                  <c:v>0.0574</c:v>
                </c:pt>
                <c:pt idx="5">
                  <c:v>0.0574</c:v>
                </c:pt>
                <c:pt idx="6">
                  <c:v>0.0574</c:v>
                </c:pt>
                <c:pt idx="7">
                  <c:v>0.0622</c:v>
                </c:pt>
                <c:pt idx="8">
                  <c:v>0.0957</c:v>
                </c:pt>
                <c:pt idx="9">
                  <c:v>0.2392</c:v>
                </c:pt>
                <c:pt idx="10">
                  <c:v>0.2823</c:v>
                </c:pt>
              </c:numCache>
            </c:numRef>
          </c:val>
        </c:ser>
        <c:dLbls>
          <c:showLegendKey val="0"/>
          <c:showVal val="1"/>
          <c:showCatName val="0"/>
          <c:showSerName val="0"/>
          <c:showPercent val="0"/>
          <c:showBubbleSize val="0"/>
        </c:dLbls>
        <c:gapWidth val="150"/>
        <c:overlap val="100"/>
        <c:axId val="219028496"/>
        <c:axId val="520889048"/>
      </c:barChart>
      <c:catAx>
        <c:axId val="21902849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0889048"/>
        <c:crosses val="autoZero"/>
        <c:auto val="1"/>
        <c:lblAlgn val="ctr"/>
        <c:lblOffset val="100"/>
        <c:noMultiLvlLbl val="0"/>
      </c:catAx>
      <c:valAx>
        <c:axId val="5208890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028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elete val="1"/>
          </c:dLbls>
          <c:cat>
            <c:strRef>
              <c:f>Sheet1!$A$2:$A$16</c:f>
              <c:strCache>
                <c:ptCount val="15"/>
                <c:pt idx="0">
                  <c:v>行业知名度</c:v>
                </c:pt>
                <c:pt idx="1">
                  <c:v>岗位发展前景</c:v>
                </c:pt>
                <c:pt idx="2">
                  <c:v>工作稳定性</c:v>
                </c:pt>
                <c:pt idx="3">
                  <c:v>工作轻松度</c:v>
                </c:pt>
                <c:pt idx="4">
                  <c:v>工作自主性</c:v>
                </c:pt>
                <c:pt idx="5">
                  <c:v>工作地点</c:v>
                </c:pt>
                <c:pt idx="6">
                  <c:v>工作环境</c:v>
                </c:pt>
                <c:pt idx="7">
                  <c:v>晋升空间</c:v>
                </c:pt>
                <c:pt idx="8">
                  <c:v>培训机会</c:v>
                </c:pt>
                <c:pt idx="9">
                  <c:v>企业文化</c:v>
                </c:pt>
                <c:pt idx="10">
                  <c:v>父母期望</c:v>
                </c:pt>
                <c:pt idx="11">
                  <c:v>工作氛围（同事关系）</c:v>
                </c:pt>
                <c:pt idx="12">
                  <c:v>薪酬水平</c:v>
                </c:pt>
                <c:pt idx="13">
                  <c:v>社会保障</c:v>
                </c:pt>
                <c:pt idx="14">
                  <c:v>其他</c:v>
                </c:pt>
              </c:strCache>
            </c:strRef>
          </c:cat>
          <c:val>
            <c:numRef>
              <c:f>Sheet1!$B$2:$B$16</c:f>
              <c:numCache>
                <c:formatCode>0.00%</c:formatCode>
                <c:ptCount val="15"/>
                <c:pt idx="0">
                  <c:v>0.0574</c:v>
                </c:pt>
                <c:pt idx="1">
                  <c:v>0.4019</c:v>
                </c:pt>
                <c:pt idx="2">
                  <c:v>0.5263</c:v>
                </c:pt>
                <c:pt idx="3">
                  <c:v>0.1675</c:v>
                </c:pt>
                <c:pt idx="4">
                  <c:v>0.0718</c:v>
                </c:pt>
                <c:pt idx="5">
                  <c:v>0.1914</c:v>
                </c:pt>
                <c:pt idx="6">
                  <c:v>0.1962</c:v>
                </c:pt>
                <c:pt idx="7">
                  <c:v>0.201</c:v>
                </c:pt>
                <c:pt idx="8">
                  <c:v>0.0144</c:v>
                </c:pt>
                <c:pt idx="9">
                  <c:v>0.0383</c:v>
                </c:pt>
                <c:pt idx="10">
                  <c:v>0.0383</c:v>
                </c:pt>
                <c:pt idx="11">
                  <c:v>0.0957</c:v>
                </c:pt>
                <c:pt idx="12">
                  <c:v>0.4833</c:v>
                </c:pt>
                <c:pt idx="13">
                  <c:v>0.1005</c:v>
                </c:pt>
                <c:pt idx="14">
                  <c:v>0.0287</c:v>
                </c:pt>
              </c:numCache>
            </c:numRef>
          </c:val>
        </c:ser>
        <c:dLbls>
          <c:showLegendKey val="0"/>
          <c:showVal val="0"/>
          <c:showCatName val="0"/>
          <c:showSerName val="0"/>
          <c:showPercent val="0"/>
          <c:showBubbleSize val="0"/>
        </c:dLbls>
        <c:gapWidth val="95"/>
        <c:overlap val="100"/>
        <c:axId val="997104548"/>
        <c:axId val="23722227"/>
      </c:barChart>
      <c:catAx>
        <c:axId val="9971045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22227"/>
        <c:crosses val="autoZero"/>
        <c:auto val="1"/>
        <c:lblAlgn val="ctr"/>
        <c:lblOffset val="100"/>
        <c:noMultiLvlLbl val="0"/>
      </c:catAx>
      <c:valAx>
        <c:axId val="237222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71045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26971301198105"/>
          <c:y val="0.056208482370976"/>
          <c:w val="0.889022011702424"/>
          <c:h val="0.703985692386306"/>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Pt>
            <c:idx val="0"/>
            <c:invertIfNegative val="0"/>
            <c:bubble3D val="0"/>
            <c:spPr>
              <a:gradFill>
                <a:gsLst>
                  <a:gs pos="0">
                    <a:srgbClr val="FECF40"/>
                  </a:gs>
                  <a:gs pos="100000">
                    <a:srgbClr val="846C21"/>
                  </a:gs>
                </a:gsLst>
                <a:lin scaled="0"/>
              </a:gradFill>
              <a:ln>
                <a:noFill/>
              </a:ln>
              <a:effectLst/>
            </c:spPr>
          </c:dPt>
          <c:dPt>
            <c:idx val="1"/>
            <c:invertIfNegative val="0"/>
            <c:bubble3D val="0"/>
            <c:spPr>
              <a:gradFill>
                <a:gsLst>
                  <a:gs pos="0">
                    <a:srgbClr val="FBFB11"/>
                  </a:gs>
                  <a:gs pos="100000">
                    <a:srgbClr val="838309"/>
                  </a:gs>
                </a:gsLst>
                <a:lin scaled="0"/>
              </a:gradFill>
              <a:ln>
                <a:noFill/>
              </a:ln>
              <a:effectLst/>
            </c:spPr>
          </c:dPt>
          <c:dPt>
            <c:idx val="2"/>
            <c:invertIfNegative val="0"/>
            <c:bubble3D val="0"/>
            <c:spPr>
              <a:gradFill>
                <a:gsLst>
                  <a:gs pos="0">
                    <a:srgbClr val="9EE256"/>
                  </a:gs>
                  <a:gs pos="100000">
                    <a:srgbClr val="52762D"/>
                  </a:gs>
                </a:gsLst>
                <a:lin scaled="0"/>
              </a:gradFill>
              <a:ln>
                <a:noFill/>
              </a:ln>
              <a:effectLst/>
            </c:spPr>
          </c:dPt>
          <c:dPt>
            <c:idx val="3"/>
            <c:invertIfNegative val="0"/>
            <c:bubble3D val="0"/>
            <c:spPr>
              <a:gradFill>
                <a:gsLst>
                  <a:gs pos="0">
                    <a:srgbClr val="007BD3"/>
                  </a:gs>
                  <a:gs pos="100000">
                    <a:srgbClr val="034373"/>
                  </a:gs>
                </a:gsLst>
                <a:lin scaled="0"/>
              </a:gradFill>
              <a:ln>
                <a:noFill/>
              </a:ln>
              <a:effectLst/>
            </c:spPr>
          </c:dPt>
          <c:dPt>
            <c:idx val="4"/>
            <c:invertIfNegative val="0"/>
            <c:bubble3D val="0"/>
            <c:spPr>
              <a:gradFill>
                <a:gsLst>
                  <a:gs pos="0">
                    <a:srgbClr val="7B32B2"/>
                  </a:gs>
                  <a:gs pos="100000">
                    <a:srgbClr val="401A5D"/>
                  </a:gs>
                </a:gsLst>
                <a:lin scaled="0"/>
              </a:gradFill>
              <a:ln>
                <a:noFill/>
              </a:ln>
              <a:effectLst/>
            </c:spPr>
          </c:dPt>
          <c:dLbls>
            <c:dLbl>
              <c:idx val="0"/>
              <c:layout>
                <c:manualLayout>
                  <c:x val="-0.001625"/>
                  <c:y val="-0.16242122296031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15.31</a:t>
                    </a:r>
                    <a:r>
                      <a:t>%</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152619113959306"/>
                  <c:y val="-0.38297462953500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13006940895929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0840763443856"/>
                  <c:y val="-0.068489950604666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a:t>
                    </a:r>
                    <a:r>
                      <a:rPr lang="en-US" altLang="zh-CN"/>
                      <a:t>.24</a:t>
                    </a:r>
                    <a:r>
                      <a:t>%</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51330454165508"/>
                  <c:y val="-0.081314171350706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10.05</a:t>
                    </a:r>
                    <a:r>
                      <a:t>%</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0家</c:v>
                </c:pt>
                <c:pt idx="1">
                  <c:v>1-3家</c:v>
                </c:pt>
                <c:pt idx="2">
                  <c:v>4-6家</c:v>
                </c:pt>
                <c:pt idx="3">
                  <c:v>7-9家</c:v>
                </c:pt>
                <c:pt idx="4">
                  <c:v>10家及以上</c:v>
                </c:pt>
              </c:strCache>
            </c:strRef>
          </c:cat>
          <c:val>
            <c:numRef>
              <c:f>Sheet1!$B$2:$B$6</c:f>
              <c:numCache>
                <c:formatCode>0.00%</c:formatCode>
                <c:ptCount val="5"/>
                <c:pt idx="0">
                  <c:v>0.1531</c:v>
                </c:pt>
                <c:pt idx="1">
                  <c:v>0.5694</c:v>
                </c:pt>
                <c:pt idx="2">
                  <c:v>0.1387</c:v>
                </c:pt>
                <c:pt idx="3">
                  <c:v>0.0383</c:v>
                </c:pt>
                <c:pt idx="4">
                  <c:v>0.1005</c:v>
                </c:pt>
              </c:numCache>
            </c:numRef>
          </c:val>
        </c:ser>
        <c:dLbls>
          <c:showLegendKey val="0"/>
          <c:showVal val="1"/>
          <c:showCatName val="0"/>
          <c:showSerName val="0"/>
          <c:showPercent val="0"/>
          <c:showBubbleSize val="0"/>
        </c:dLbls>
        <c:gapWidth val="150"/>
        <c:overlap val="100"/>
        <c:axId val="935093952"/>
        <c:axId val="958252617"/>
      </c:barChart>
      <c:catAx>
        <c:axId val="9350939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52617"/>
        <c:crosses val="autoZero"/>
        <c:auto val="1"/>
        <c:lblAlgn val="ctr"/>
        <c:lblOffset val="100"/>
        <c:noMultiLvlLbl val="0"/>
      </c:catAx>
      <c:valAx>
        <c:axId val="95825261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0939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Lbls>
            <c:dLbl>
              <c:idx val="0"/>
              <c:layout>
                <c:manualLayout>
                  <c:x val="-0.00798016339017821"/>
                  <c:y val="-0.0009778592092718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091774703984"/>
                  <c:y val="0.074745243079857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22725650202816"/>
                  <c:y val="-0.1622601273974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856110866723765"/>
                  <c:y val="-0.27929881487783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99268401278081"/>
                  <c:y val="0.09096062483033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不满意</c:v>
                </c:pt>
                <c:pt idx="1">
                  <c:v>不太满意</c:v>
                </c:pt>
                <c:pt idx="2">
                  <c:v>满意</c:v>
                </c:pt>
                <c:pt idx="3">
                  <c:v>比较满意</c:v>
                </c:pt>
                <c:pt idx="4">
                  <c:v>非常满意</c:v>
                </c:pt>
              </c:strCache>
            </c:strRef>
          </c:cat>
          <c:val>
            <c:numRef>
              <c:f>Sheet1!$B$2:$B$6</c:f>
              <c:numCache>
                <c:formatCode>0.00%</c:formatCode>
                <c:ptCount val="5"/>
                <c:pt idx="0">
                  <c:v>0.0252</c:v>
                </c:pt>
                <c:pt idx="1">
                  <c:v>0.1091</c:v>
                </c:pt>
                <c:pt idx="2">
                  <c:v>0.2567</c:v>
                </c:pt>
                <c:pt idx="3">
                  <c:v>0.32</c:v>
                </c:pt>
                <c:pt idx="4">
                  <c:v>0.289</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418219953760995"/>
                  <c:y val="-0.0090959103622562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08916893154948"/>
                  <c:y val="0.005157345548947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2292832942824"/>
                  <c:y val="0.002157676348547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50763999741246"/>
                  <c:y val="0.00977325844797454"/>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0868583650190114"/>
                      <c:h val="0.0646189510286873"/>
                    </c:manualLayout>
                  </c15:layout>
                </c:ext>
              </c:extLst>
            </c:dLbl>
            <c:dLbl>
              <c:idx val="4"/>
              <c:layout>
                <c:manualLayout>
                  <c:x val="0.184739313777779"/>
                  <c:y val="0.005392643680050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08084054302839"/>
                  <c:y val="-0.0013085281575181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0883916320147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05790731482743"/>
                  <c:y val="0.0051028725992041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5013468709169"/>
                  <c:y val="0.009739209892742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320817490494296"/>
                  <c:y val="0.009562445667922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330679657794677"/>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Sheet1!$A$2:$A$12</c:f>
              <c:strCache>
                <c:ptCount val="11"/>
                <c:pt idx="0">
                  <c:v>与父母意愿相悖</c:v>
                </c:pt>
                <c:pt idx="1">
                  <c:v>其他</c:v>
                </c:pt>
                <c:pt idx="2">
                  <c:v>存在就业歧视</c:v>
                </c:pt>
                <c:pt idx="3">
                  <c:v>没有什么困难</c:v>
                </c:pt>
                <c:pt idx="4">
                  <c:v>用人单位虚假宣传或隐瞒实情</c:v>
                </c:pt>
                <c:pt idx="5">
                  <c:v>社会关系缺乏</c:v>
                </c:pt>
                <c:pt idx="6">
                  <c:v>获取招聘信息的渠道太少</c:v>
                </c:pt>
                <c:pt idx="7">
                  <c:v>就业能力不足</c:v>
                </c:pt>
                <c:pt idx="8">
                  <c:v>用人单位待遇和条件不符合预期</c:v>
                </c:pt>
                <c:pt idx="9">
                  <c:v>适合自己专业和学历的岗位不多</c:v>
                </c:pt>
                <c:pt idx="10">
                  <c:v>实践经验缺乏</c:v>
                </c:pt>
              </c:strCache>
            </c:strRef>
          </c:cat>
          <c:val>
            <c:numRef>
              <c:f>Sheet1!$B$2:$B$12</c:f>
              <c:numCache>
                <c:formatCode>0.00%</c:formatCode>
                <c:ptCount val="11"/>
                <c:pt idx="0">
                  <c:v>0</c:v>
                </c:pt>
                <c:pt idx="1">
                  <c:v>0.067</c:v>
                </c:pt>
                <c:pt idx="2">
                  <c:v>0.0813</c:v>
                </c:pt>
                <c:pt idx="3">
                  <c:v>0.134</c:v>
                </c:pt>
                <c:pt idx="4">
                  <c:v>0.1866</c:v>
                </c:pt>
                <c:pt idx="5">
                  <c:v>0.201</c:v>
                </c:pt>
                <c:pt idx="6">
                  <c:v>0.201</c:v>
                </c:pt>
                <c:pt idx="7">
                  <c:v>0.2057</c:v>
                </c:pt>
                <c:pt idx="8">
                  <c:v>0.2632</c:v>
                </c:pt>
                <c:pt idx="9">
                  <c:v>0.3589</c:v>
                </c:pt>
                <c:pt idx="10">
                  <c:v>0.3589</c:v>
                </c:pt>
              </c:numCache>
            </c:numRef>
          </c:val>
        </c:ser>
        <c:dLbls>
          <c:showLegendKey val="0"/>
          <c:showVal val="1"/>
          <c:showCatName val="0"/>
          <c:showSerName val="0"/>
          <c:showPercent val="0"/>
          <c:showBubbleSize val="0"/>
        </c:dLbls>
        <c:gapWidth val="150"/>
        <c:overlap val="100"/>
        <c:axId val="781704013"/>
        <c:axId val="564517479"/>
      </c:barChart>
      <c:catAx>
        <c:axId val="78170401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4517479"/>
        <c:crosses val="autoZero"/>
        <c:auto val="1"/>
        <c:lblAlgn val="ctr"/>
        <c:lblOffset val="100"/>
        <c:noMultiLvlLbl val="0"/>
      </c:catAx>
      <c:valAx>
        <c:axId val="56451747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7040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873947586861"/>
          <c:y val="0.0579874928936896"/>
          <c:w val="0.647266690383019"/>
          <c:h val="0.8"/>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791114802848176"/>
                  <c:y val="-0.0066825114880948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20317583443762"/>
                  <c:y val="-0.0022083390264424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0608893863538"/>
                  <c:y val="-0.00015907937073900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25677461422047"/>
                  <c:y val="0.0011726523055606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31365884884567"/>
                  <c:y val="0.0038472670314870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4353686196251"/>
                  <c:y val="0.003523762916956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18638379998074"/>
                  <c:y val="0.0070635740135160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35703578062803"/>
                  <c:y val="0.0039327398117318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3716352424997"/>
                  <c:y val="0.018760659465605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235147634293846"/>
                  <c:y val="0.014212620807276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288628009012214"/>
                  <c:y val="0.014212620807276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Sheet1!$A$2:$A$12</c:f>
              <c:strCache>
                <c:ptCount val="11"/>
                <c:pt idx="0">
                  <c:v>面试/着装礼仪</c:v>
                </c:pt>
                <c:pt idx="1">
                  <c:v>求职心理辅导</c:v>
                </c:pt>
                <c:pt idx="2">
                  <c:v>邀请企业、专家专题就业宣讲</c:v>
                </c:pt>
                <c:pt idx="3">
                  <c:v>就业问题答疑（线上、线下）</c:v>
                </c:pt>
                <c:pt idx="4">
                  <c:v>其他</c:v>
                </c:pt>
                <c:pt idx="5">
                  <c:v>就业政策讲解与指导</c:v>
                </c:pt>
                <c:pt idx="6">
                  <c:v>行业/岗位发展前景等分析</c:v>
                </c:pt>
                <c:pt idx="7">
                  <c:v>岗位推荐</c:v>
                </c:pt>
                <c:pt idx="8">
                  <c:v>求职补贴</c:v>
                </c:pt>
                <c:pt idx="9">
                  <c:v>增加职位信息发布</c:v>
                </c:pt>
                <c:pt idx="10">
                  <c:v>求职技巧培训</c:v>
                </c:pt>
              </c:strCache>
            </c:strRef>
          </c:cat>
          <c:val>
            <c:numRef>
              <c:f>Sheet1!$B$2:$B$12</c:f>
              <c:numCache>
                <c:formatCode>0.00%</c:formatCode>
                <c:ptCount val="11"/>
                <c:pt idx="0">
                  <c:v>0.0622</c:v>
                </c:pt>
                <c:pt idx="1">
                  <c:v>0.0622</c:v>
                </c:pt>
                <c:pt idx="2">
                  <c:v>0.0718</c:v>
                </c:pt>
                <c:pt idx="3">
                  <c:v>0.11</c:v>
                </c:pt>
                <c:pt idx="4">
                  <c:v>0.1292</c:v>
                </c:pt>
                <c:pt idx="5">
                  <c:v>0.1435</c:v>
                </c:pt>
                <c:pt idx="6">
                  <c:v>0.2727</c:v>
                </c:pt>
                <c:pt idx="7">
                  <c:v>0.2823</c:v>
                </c:pt>
                <c:pt idx="8">
                  <c:v>0.2871</c:v>
                </c:pt>
                <c:pt idx="9">
                  <c:v>0.2871</c:v>
                </c:pt>
                <c:pt idx="10">
                  <c:v>0.3876</c:v>
                </c:pt>
              </c:numCache>
            </c:numRef>
          </c:val>
        </c:ser>
        <c:dLbls>
          <c:showLegendKey val="0"/>
          <c:showVal val="1"/>
          <c:showCatName val="0"/>
          <c:showSerName val="0"/>
          <c:showPercent val="0"/>
          <c:showBubbleSize val="0"/>
        </c:dLbls>
        <c:gapWidth val="150"/>
        <c:overlap val="100"/>
        <c:axId val="781704013"/>
        <c:axId val="564517479"/>
      </c:barChart>
      <c:catAx>
        <c:axId val="78170401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4517479"/>
        <c:crosses val="autoZero"/>
        <c:auto val="1"/>
        <c:lblAlgn val="ctr"/>
        <c:lblOffset val="100"/>
        <c:noMultiLvlLbl val="0"/>
      </c:catAx>
      <c:valAx>
        <c:axId val="56451747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7040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797353066743"/>
          <c:y val="0.0381763251853886"/>
          <c:w val="0.854333285897253"/>
          <c:h val="0.682889316121945"/>
        </c:manualLayout>
      </c:layout>
      <c:barChart>
        <c:barDir val="col"/>
        <c:grouping val="stacked"/>
        <c:varyColors val="0"/>
        <c:ser>
          <c:idx val="0"/>
          <c:order val="0"/>
          <c:tx>
            <c:strRef>
              <c:f>Sheet1!$B$1</c:f>
              <c:strCache>
                <c:ptCount val="1"/>
                <c:pt idx="0">
                  <c:v>系列 1</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chemeClr val="accent3"/>
              </a:solidFill>
              <a:ln>
                <a:noFill/>
              </a:ln>
              <a:effectLst/>
            </c:spPr>
          </c:dPt>
          <c:dPt>
            <c:idx val="3"/>
            <c:invertIfNegative val="0"/>
            <c:bubble3D val="0"/>
            <c:spPr>
              <a:solidFill>
                <a:schemeClr val="bg2">
                  <a:lumMod val="75000"/>
                </a:schemeClr>
              </a:solidFill>
              <a:ln>
                <a:noFill/>
              </a:ln>
              <a:effectLst/>
            </c:spPr>
          </c:dPt>
          <c:dPt>
            <c:idx val="4"/>
            <c:invertIfNegative val="0"/>
            <c:bubble3D val="0"/>
            <c:spPr>
              <a:solidFill>
                <a:schemeClr val="tx1"/>
              </a:solidFill>
              <a:ln>
                <a:noFill/>
              </a:ln>
              <a:effectLst/>
            </c:spPr>
          </c:dPt>
          <c:dLbls>
            <c:dLbl>
              <c:idx val="0"/>
              <c:layout>
                <c:manualLayout>
                  <c:x val="0.0004153621744699"/>
                  <c:y val="-0.35821775153346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7769318343532"/>
                  <c:y val="-0.26756806738075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19039063611781"/>
                  <c:y val="-0.17212075437150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65387078411837"/>
                  <c:y val="-0.065262885654124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85000711541198"/>
                  <c:y val="-0.053399157740547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非常满意</c:v>
                </c:pt>
                <c:pt idx="1">
                  <c:v>比较满意</c:v>
                </c:pt>
                <c:pt idx="2">
                  <c:v>满意</c:v>
                </c:pt>
                <c:pt idx="3">
                  <c:v>不太满意</c:v>
                </c:pt>
                <c:pt idx="4">
                  <c:v>不满意</c:v>
                </c:pt>
              </c:strCache>
            </c:strRef>
          </c:cat>
          <c:val>
            <c:numRef>
              <c:f>Sheet1!$B$2:$B$6</c:f>
              <c:numCache>
                <c:formatCode>0.00%</c:formatCode>
                <c:ptCount val="5"/>
                <c:pt idx="0">
                  <c:v>0.4612</c:v>
                </c:pt>
                <c:pt idx="1">
                  <c:v>0.3281</c:v>
                </c:pt>
                <c:pt idx="2">
                  <c:v>0.1694</c:v>
                </c:pt>
                <c:pt idx="3">
                  <c:v>0.0263</c:v>
                </c:pt>
                <c:pt idx="4">
                  <c:v>0.015</c:v>
                </c:pt>
              </c:numCache>
            </c:numRef>
          </c:val>
        </c:ser>
        <c:dLbls>
          <c:showLegendKey val="0"/>
          <c:showVal val="0"/>
          <c:showCatName val="0"/>
          <c:showSerName val="0"/>
          <c:showPercent val="0"/>
          <c:showBubbleSize val="0"/>
        </c:dLbls>
        <c:gapWidth val="150"/>
        <c:overlap val="100"/>
        <c:axId val="914338915"/>
        <c:axId val="844564971"/>
      </c:barChart>
      <c:catAx>
        <c:axId val="9143389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564971"/>
        <c:crosses val="autoZero"/>
        <c:auto val="1"/>
        <c:lblAlgn val="ctr"/>
        <c:lblOffset val="100"/>
        <c:noMultiLvlLbl val="0"/>
      </c:catAx>
      <c:valAx>
        <c:axId val="84456497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3389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925667828107"/>
          <c:y val="0.0706375336725531"/>
          <c:w val="0.851393728222996"/>
          <c:h val="0.654414845854535"/>
        </c:manualLayout>
      </c:layout>
      <c:barChart>
        <c:barDir val="col"/>
        <c:grouping val="stacked"/>
        <c:varyColors val="0"/>
        <c:ser>
          <c:idx val="0"/>
          <c:order val="0"/>
          <c:tx>
            <c:strRef>
              <c:f>Sheet1!$B$1</c:f>
              <c:strCache>
                <c:ptCount val="1"/>
                <c:pt idx="0">
                  <c:v>系列 1</c:v>
                </c:pt>
              </c:strCache>
            </c:strRef>
          </c:tx>
          <c:spPr>
            <a:solidFill>
              <a:schemeClr val="accent1"/>
            </a:solidFill>
            <a:ln>
              <a:noFill/>
            </a:ln>
            <a:effectLst/>
          </c:spPr>
          <c:invertIfNegative val="0"/>
          <c:dPt>
            <c:idx val="1"/>
            <c:invertIfNegative val="0"/>
            <c:bubble3D val="0"/>
            <c:spPr>
              <a:solidFill>
                <a:schemeClr val="accent6">
                  <a:lumMod val="75000"/>
                </a:schemeClr>
              </a:solidFill>
              <a:ln>
                <a:noFill/>
              </a:ln>
              <a:effectLst/>
            </c:spPr>
          </c:dPt>
          <c:dPt>
            <c:idx val="2"/>
            <c:invertIfNegative val="0"/>
            <c:bubble3D val="0"/>
            <c:spPr>
              <a:solidFill>
                <a:schemeClr val="accent3"/>
              </a:solidFill>
              <a:ln>
                <a:noFill/>
              </a:ln>
              <a:effectLst/>
            </c:spPr>
          </c:dPt>
          <c:dPt>
            <c:idx val="3"/>
            <c:invertIfNegative val="0"/>
            <c:bubble3D val="0"/>
            <c:spPr>
              <a:solidFill>
                <a:schemeClr val="bg2">
                  <a:lumMod val="75000"/>
                </a:schemeClr>
              </a:solidFill>
              <a:ln>
                <a:noFill/>
              </a:ln>
              <a:effectLst/>
            </c:spPr>
          </c:dPt>
          <c:dPt>
            <c:idx val="4"/>
            <c:invertIfNegative val="0"/>
            <c:bubble3D val="0"/>
            <c:spPr>
              <a:solidFill>
                <a:schemeClr val="tx1"/>
              </a:solidFill>
              <a:ln>
                <a:noFill/>
              </a:ln>
              <a:effectLst/>
            </c:spPr>
          </c:dPt>
          <c:dLbls>
            <c:dLbl>
              <c:idx val="0"/>
              <c:layout>
                <c:manualLayout>
                  <c:x val="-0.00123481133650498"/>
                  <c:y val="-0.31054453796390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115595922963366"/>
                  <c:y val="-0.2978826575719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889057961035146"/>
                  <c:y val="-0.16923093231060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709837322608507"/>
                  <c:y val="-0.096244334897678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25548421640939"/>
                  <c:y val="-0.079208006993830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非常愿意</c:v>
                </c:pt>
                <c:pt idx="1">
                  <c:v>比较愿意</c:v>
                </c:pt>
                <c:pt idx="2">
                  <c:v>愿意</c:v>
                </c:pt>
                <c:pt idx="3">
                  <c:v>不太愿意</c:v>
                </c:pt>
                <c:pt idx="4">
                  <c:v>不愿意</c:v>
                </c:pt>
              </c:strCache>
            </c:strRef>
          </c:cat>
          <c:val>
            <c:numRef>
              <c:f>Sheet1!$B$2:$B$6</c:f>
              <c:numCache>
                <c:formatCode>0.00%</c:formatCode>
                <c:ptCount val="5"/>
                <c:pt idx="0">
                  <c:v>0.3808</c:v>
                </c:pt>
                <c:pt idx="1">
                  <c:v>0.3821</c:v>
                </c:pt>
                <c:pt idx="2">
                  <c:v>0.1631</c:v>
                </c:pt>
                <c:pt idx="3">
                  <c:v>0.0501</c:v>
                </c:pt>
                <c:pt idx="4">
                  <c:v>0.0239</c:v>
                </c:pt>
              </c:numCache>
            </c:numRef>
          </c:val>
        </c:ser>
        <c:dLbls>
          <c:showLegendKey val="0"/>
          <c:showVal val="0"/>
          <c:showCatName val="0"/>
          <c:showSerName val="0"/>
          <c:showPercent val="0"/>
          <c:showBubbleSize val="0"/>
        </c:dLbls>
        <c:gapWidth val="150"/>
        <c:overlap val="100"/>
        <c:axId val="914338915"/>
        <c:axId val="844564971"/>
      </c:barChart>
      <c:catAx>
        <c:axId val="9143389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564971"/>
        <c:crosses val="autoZero"/>
        <c:auto val="1"/>
        <c:lblAlgn val="ctr"/>
        <c:lblOffset val="100"/>
        <c:noMultiLvlLbl val="0"/>
      </c:catAx>
      <c:valAx>
        <c:axId val="84456497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3389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96728654811999"/>
          <c:y val="0.099599517490953"/>
          <c:w val="0.827441292249219"/>
          <c:h val="0.682344993968637"/>
        </c:manualLayout>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Lbl>
              <c:idx val="0"/>
              <c:layout>
                <c:manualLayout>
                  <c:x val="-0.0498167503732863"/>
                  <c:y val="0.09264173703256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82471226649913"/>
                  <c:y val="-0.1945763813348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1014597784933"/>
                  <c:y val="0.03846737810682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35740464232388"/>
                  <c:y val="-0.018094089264173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非常高</c:v>
                </c:pt>
                <c:pt idx="1">
                  <c:v>高</c:v>
                </c:pt>
                <c:pt idx="2">
                  <c:v>一般</c:v>
                </c:pt>
                <c:pt idx="3">
                  <c:v>差</c:v>
                </c:pt>
                <c:pt idx="4">
                  <c:v>非常差</c:v>
                </c:pt>
              </c:strCache>
            </c:strRef>
          </c:cat>
          <c:val>
            <c:numRef>
              <c:f>Sheet1!$B$2:$B$6</c:f>
              <c:numCache>
                <c:formatCode>0.00%</c:formatCode>
                <c:ptCount val="5"/>
                <c:pt idx="0">
                  <c:v>0.1706</c:v>
                </c:pt>
                <c:pt idx="1">
                  <c:v>0.4589</c:v>
                </c:pt>
                <c:pt idx="2">
                  <c:v>0.3452</c:v>
                </c:pt>
                <c:pt idx="3">
                  <c:v>0.0115</c:v>
                </c:pt>
                <c:pt idx="4">
                  <c:v>0.0138</c:v>
                </c:pt>
              </c:numCache>
            </c:numRef>
          </c:val>
        </c:ser>
        <c:dLbls>
          <c:showLegendKey val="0"/>
          <c:showVal val="1"/>
          <c:showCatName val="0"/>
          <c:showSerName val="0"/>
          <c:showPercent val="0"/>
          <c:showBubbleSize val="0"/>
        </c:dLbls>
      </c:pie3D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716215545070772"/>
          <c:y val="0.0977941515081741"/>
          <c:w val="0.831924509560467"/>
          <c:h val="0.691356205387981"/>
        </c:manualLayout>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Lbl>
              <c:idx val="0"/>
              <c:layout>
                <c:manualLayout>
                  <c:x val="-0.0461354769133403"/>
                  <c:y val="0.09187371044392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78718694377271"/>
                  <c:y val="-0.2018305865647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81182071703906"/>
                  <c:y val="-0.176810937969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44999565748001"/>
                  <c:y val="0.075879553549493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142770409185351"/>
                  <c:y val="0.020492746949113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非常合理</c:v>
                </c:pt>
                <c:pt idx="1">
                  <c:v>比较合理</c:v>
                </c:pt>
                <c:pt idx="2">
                  <c:v>合理</c:v>
                </c:pt>
                <c:pt idx="3">
                  <c:v>不太合理</c:v>
                </c:pt>
                <c:pt idx="4">
                  <c:v>不合理</c:v>
                </c:pt>
              </c:strCache>
            </c:strRef>
          </c:cat>
          <c:val>
            <c:numRef>
              <c:f>Sheet1!$B$2:$B$6</c:f>
              <c:numCache>
                <c:formatCode>0.00%</c:formatCode>
                <c:ptCount val="5"/>
                <c:pt idx="0">
                  <c:v>0.1476</c:v>
                </c:pt>
                <c:pt idx="1">
                  <c:v>0.3544</c:v>
                </c:pt>
                <c:pt idx="2">
                  <c:v>0.3659</c:v>
                </c:pt>
                <c:pt idx="3">
                  <c:v>0.1086</c:v>
                </c:pt>
                <c:pt idx="4">
                  <c:v>0.0235</c:v>
                </c:pt>
              </c:numCache>
            </c:numRef>
          </c:val>
        </c:ser>
        <c:dLbls>
          <c:showLegendKey val="0"/>
          <c:showVal val="1"/>
          <c:showCatName val="0"/>
          <c:showSerName val="0"/>
          <c:showPercent val="0"/>
          <c:showBubbleSize val="0"/>
        </c:dLbls>
      </c:pie3D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Lbl>
              <c:idx val="1"/>
              <c:layout>
                <c:manualLayout>
                  <c:x val="-0.210541529034228"/>
                  <c:y val="-0.1431988040650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78279559889513"/>
                  <c:y val="-0.1754515974062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691216202873668"/>
                  <c:y val="0.073148773351339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非常好</c:v>
                </c:pt>
                <c:pt idx="1">
                  <c:v>比较好</c:v>
                </c:pt>
                <c:pt idx="2">
                  <c:v>好</c:v>
                </c:pt>
                <c:pt idx="3">
                  <c:v>不太好</c:v>
                </c:pt>
                <c:pt idx="4">
                  <c:v>不好</c:v>
                </c:pt>
              </c:strCache>
            </c:strRef>
          </c:cat>
          <c:val>
            <c:numRef>
              <c:f>Sheet1!$B$2:$B$6</c:f>
              <c:numCache>
                <c:formatCode>0.00%</c:formatCode>
                <c:ptCount val="5"/>
                <c:pt idx="0">
                  <c:v>0.1436</c:v>
                </c:pt>
                <c:pt idx="1">
                  <c:v>0.3263</c:v>
                </c:pt>
                <c:pt idx="2">
                  <c:v>0.3808</c:v>
                </c:pt>
                <c:pt idx="3">
                  <c:v>0.1252</c:v>
                </c:pt>
                <c:pt idx="4">
                  <c:v>0.0241</c:v>
                </c:pt>
              </c:numCache>
            </c:numRef>
          </c:val>
        </c:ser>
        <c:dLbls>
          <c:showLegendKey val="0"/>
          <c:showVal val="1"/>
          <c:showCatName val="0"/>
          <c:showSerName val="0"/>
          <c:showPercent val="0"/>
          <c:showBubbleSize val="0"/>
        </c:dLbls>
      </c:pie3D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53.96</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13331648605156"/>
                  <c:y val="-0.23398351553893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21.45</a:t>
                    </a:r>
                    <a:r>
                      <a:t>%</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6315498323279"/>
                  <c:y val="0.077854196947111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19.69</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929448591379726"/>
                      <c:h val="0.0701754385964912"/>
                    </c:manualLayout>
                  </c15:layout>
                </c:ext>
              </c:extLst>
            </c:dLbl>
            <c:dLbl>
              <c:idx val="3"/>
              <c:layout>
                <c:manualLayout>
                  <c:x val="0.0212066596944841"/>
                  <c:y val="0.012924480486568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3.02</a:t>
                    </a:r>
                    <a:r>
                      <a:t>%</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0945099927763063"/>
                      <c:h val="0.0445820433436533"/>
                    </c:manualLayout>
                  </c15:layout>
                </c:ext>
              </c:extLst>
            </c:dLbl>
            <c:dLbl>
              <c:idx val="4"/>
              <c:layout>
                <c:manualLayout>
                  <c:x val="0.0203953166309957"/>
                  <c:y val="0.101621895590471"/>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07264257837089"/>
                      <c:h val="0.0727318803852002"/>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非常满意</c:v>
                </c:pt>
                <c:pt idx="1">
                  <c:v>比较满意</c:v>
                </c:pt>
                <c:pt idx="2">
                  <c:v>满意</c:v>
                </c:pt>
                <c:pt idx="3">
                  <c:v>不太满意</c:v>
                </c:pt>
                <c:pt idx="4">
                  <c:v>不满意</c:v>
                </c:pt>
              </c:strCache>
            </c:strRef>
          </c:cat>
          <c:val>
            <c:numRef>
              <c:f>Sheet1!$B$2:$B$6</c:f>
              <c:numCache>
                <c:formatCode>0.00%</c:formatCode>
                <c:ptCount val="5"/>
                <c:pt idx="0">
                  <c:v>0.5396</c:v>
                </c:pt>
                <c:pt idx="1">
                  <c:v>0.2145</c:v>
                </c:pt>
                <c:pt idx="2">
                  <c:v>0.1969</c:v>
                </c:pt>
                <c:pt idx="3">
                  <c:v>0.0302</c:v>
                </c:pt>
                <c:pt idx="4">
                  <c:v>0.0188</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891607269473274"/>
                  <c:y val="0.0027443529660122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36937153709838"/>
                  <c:y val="-0.003011434735171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8933664165692"/>
                  <c:y val="0.004686373467916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48966602109999"/>
                  <c:y val="0.0069039434277816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126943447804545"/>
                      <c:h val="0.118069145466406"/>
                    </c:manualLayout>
                  </c15:layout>
                </c:ext>
              </c:extLst>
            </c:dLbl>
            <c:dLbl>
              <c:idx val="4"/>
              <c:layout>
                <c:manualLayout>
                  <c:x val="0.1502494644152"/>
                  <c:y val="-0.013389344779292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181477044080089"/>
                  <c:y val="0.0074371200080728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344670199351741"/>
                  <c:y val="0.014520545394344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Sheet1!$A$2:$A$8</c:f>
              <c:strCache>
                <c:ptCount val="7"/>
                <c:pt idx="0">
                  <c:v>股份制企业</c:v>
                </c:pt>
                <c:pt idx="1">
                  <c:v>国有企业</c:v>
                </c:pt>
                <c:pt idx="2">
                  <c:v>其他事业单位</c:v>
                </c:pt>
                <c:pt idx="3">
                  <c:v>外（合）资企业</c:v>
                </c:pt>
                <c:pt idx="4">
                  <c:v>党政机关（包括部队单位）</c:v>
                </c:pt>
                <c:pt idx="5">
                  <c:v>其他</c:v>
                </c:pt>
                <c:pt idx="6">
                  <c:v>民（私）营企业</c:v>
                </c:pt>
              </c:strCache>
            </c:strRef>
          </c:cat>
          <c:val>
            <c:numRef>
              <c:f>Sheet1!$B$2:$B$8</c:f>
              <c:numCache>
                <c:formatCode>0.00%</c:formatCode>
                <c:ptCount val="7"/>
                <c:pt idx="0">
                  <c:v>0.0645</c:v>
                </c:pt>
                <c:pt idx="1">
                  <c:v>0.0645</c:v>
                </c:pt>
                <c:pt idx="2">
                  <c:v>0.0968</c:v>
                </c:pt>
                <c:pt idx="3">
                  <c:v>0.129</c:v>
                </c:pt>
                <c:pt idx="4">
                  <c:v>0.129</c:v>
                </c:pt>
                <c:pt idx="5">
                  <c:v>0.1613</c:v>
                </c:pt>
                <c:pt idx="6">
                  <c:v>0.3549</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Sheet1!$A$2:$A$8</c:f>
              <c:strCache>
                <c:ptCount val="7"/>
                <c:pt idx="0">
                  <c:v>股份制企业</c:v>
                </c:pt>
                <c:pt idx="1">
                  <c:v>国有企业</c:v>
                </c:pt>
                <c:pt idx="2">
                  <c:v>其他事业单位</c:v>
                </c:pt>
                <c:pt idx="3">
                  <c:v>外（合）资企业</c:v>
                </c:pt>
                <c:pt idx="4">
                  <c:v>党政机关（包括部队单位）</c:v>
                </c:pt>
                <c:pt idx="5">
                  <c:v>其他</c:v>
                </c:pt>
                <c:pt idx="6">
                  <c:v>民（私）营企业</c:v>
                </c:pt>
              </c:strCache>
            </c:strRef>
          </c:cat>
          <c:val>
            <c:numRef>
              <c:f>Sheet1!$C$2:$C$8</c:f>
            </c:numRef>
          </c:val>
        </c:ser>
        <c:dLbls>
          <c:showLegendKey val="0"/>
          <c:showVal val="0"/>
          <c:showCatName val="0"/>
          <c:showSerName val="0"/>
          <c:showPercent val="0"/>
          <c:showBubbleSize val="0"/>
        </c:dLbls>
        <c:gapWidth val="150"/>
        <c:overlap val="100"/>
        <c:axId val="912760507"/>
        <c:axId val="779181353"/>
      </c:barChart>
      <c:catAx>
        <c:axId val="91276050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9181353"/>
        <c:crosses val="autoZero"/>
        <c:auto val="1"/>
        <c:lblAlgn val="ctr"/>
        <c:lblOffset val="100"/>
        <c:noMultiLvlLbl val="0"/>
      </c:catAx>
      <c:valAx>
        <c:axId val="77918135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7605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13157543583895"/>
                  <c:y val="-0.0093437229217676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97404258762127"/>
                  <c:y val="-0.006881580770350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32094053724824"/>
                  <c:y val="-0.00381043105501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606024387321858"/>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23194949926481"/>
                  <c:y val="0.006649363230021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61094287284539"/>
                  <c:y val="0.0013542233042053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617728962770932"/>
                  <c:y val="0.0014478027618811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659781141725961"/>
                  <c:y val="0.001671379781260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954087164291181"/>
                  <c:y val="-0.0040485829959514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953048601895876"/>
                  <c:y val="0.0085381773820111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11652411911907"/>
                  <c:y val="0.009292944575843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119676468512584"/>
                  <c:y val="-0.00381043105501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160307661167898"/>
                  <c:y val="-0.008097165991902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305871348282361"/>
                  <c:y val="0.00094257000525582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Sheet1!$A$2:$A$15</c:f>
              <c:strCache>
                <c:ptCount val="14"/>
                <c:pt idx="0">
                  <c:v>租赁和商务服务业</c:v>
                </c:pt>
                <c:pt idx="1">
                  <c:v>文化、体育和娱乐</c:v>
                </c:pt>
                <c:pt idx="2">
                  <c:v>卫生和社会工作</c:v>
                </c:pt>
                <c:pt idx="3">
                  <c:v>科学研究和技术服务业</c:v>
                </c:pt>
                <c:pt idx="4">
                  <c:v>军队</c:v>
                </c:pt>
                <c:pt idx="5">
                  <c:v>居民服务、修理和其他服务业</c:v>
                </c:pt>
                <c:pt idx="6">
                  <c:v>金融业</c:v>
                </c:pt>
                <c:pt idx="7">
                  <c:v>交通运输、仓储和邮政业</c:v>
                </c:pt>
                <c:pt idx="8">
                  <c:v>农、林、牧、渔业</c:v>
                </c:pt>
                <c:pt idx="9">
                  <c:v>建筑业</c:v>
                </c:pt>
                <c:pt idx="10">
                  <c:v>信息传输、软件和信息技术服务业</c:v>
                </c:pt>
                <c:pt idx="11">
                  <c:v>批发和零售业</c:v>
                </c:pt>
                <c:pt idx="12">
                  <c:v>公共管理、社会保障和社会组织</c:v>
                </c:pt>
                <c:pt idx="13">
                  <c:v>制造业</c:v>
                </c:pt>
              </c:strCache>
            </c:strRef>
          </c:cat>
          <c:val>
            <c:numRef>
              <c:f>Sheet1!$B$2:$B$15</c:f>
              <c:numCache>
                <c:formatCode>0.00%</c:formatCode>
                <c:ptCount val="14"/>
                <c:pt idx="0">
                  <c:v>0.0323</c:v>
                </c:pt>
                <c:pt idx="1">
                  <c:v>0.0323</c:v>
                </c:pt>
                <c:pt idx="2">
                  <c:v>0.0323</c:v>
                </c:pt>
                <c:pt idx="3">
                  <c:v>0.0323</c:v>
                </c:pt>
                <c:pt idx="4">
                  <c:v>0.0323</c:v>
                </c:pt>
                <c:pt idx="5">
                  <c:v>0.0323</c:v>
                </c:pt>
                <c:pt idx="6">
                  <c:v>0.0323</c:v>
                </c:pt>
                <c:pt idx="7">
                  <c:v>0.0323</c:v>
                </c:pt>
                <c:pt idx="8">
                  <c:v>0.0645</c:v>
                </c:pt>
                <c:pt idx="9">
                  <c:v>0.0645</c:v>
                </c:pt>
                <c:pt idx="10">
                  <c:v>0.0967</c:v>
                </c:pt>
                <c:pt idx="11">
                  <c:v>0.0967</c:v>
                </c:pt>
                <c:pt idx="12">
                  <c:v>0.129</c:v>
                </c:pt>
                <c:pt idx="13">
                  <c:v>0.2902</c:v>
                </c:pt>
              </c:numCache>
            </c:numRef>
          </c:val>
        </c:ser>
        <c:dLbls>
          <c:showLegendKey val="0"/>
          <c:showVal val="1"/>
          <c:showCatName val="0"/>
          <c:showSerName val="0"/>
          <c:showPercent val="0"/>
          <c:showBubbleSize val="0"/>
        </c:dLbls>
        <c:gapWidth val="150"/>
        <c:overlap val="100"/>
        <c:axId val="198073333"/>
        <c:axId val="860381984"/>
      </c:barChart>
      <c:catAx>
        <c:axId val="19807333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0381984"/>
        <c:crosses val="autoZero"/>
        <c:auto val="1"/>
        <c:lblAlgn val="ctr"/>
        <c:lblOffset val="100"/>
        <c:noMultiLvlLbl val="0"/>
      </c:catAx>
      <c:valAx>
        <c:axId val="8603819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07333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Lbls>
            <c:dLbl>
              <c:idx val="0"/>
              <c:layout>
                <c:manualLayout>
                  <c:x val="-0.0105926986146778"/>
                  <c:y val="0.01578233665012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4183484994886"/>
                  <c:y val="0.07007209486221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4892557567454"/>
                  <c:y val="-0.2650153016737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51227884572639"/>
                  <c:y val="-0.21046765751478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921183025796566"/>
                  <c:y val="0.091467639887728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非常不乐观</c:v>
                </c:pt>
                <c:pt idx="1">
                  <c:v>不太乐观</c:v>
                </c:pt>
                <c:pt idx="2">
                  <c:v>比较乐观</c:v>
                </c:pt>
                <c:pt idx="3">
                  <c:v>乐观</c:v>
                </c:pt>
                <c:pt idx="4">
                  <c:v>非常乐观</c:v>
                </c:pt>
              </c:strCache>
            </c:strRef>
          </c:cat>
          <c:val>
            <c:numRef>
              <c:f>Sheet1!$B$2:$B$6</c:f>
              <c:numCache>
                <c:formatCode>0.00%</c:formatCode>
                <c:ptCount val="5"/>
                <c:pt idx="0">
                  <c:v>0.0419</c:v>
                </c:pt>
                <c:pt idx="1">
                  <c:v>0.1476</c:v>
                </c:pt>
                <c:pt idx="2">
                  <c:v>0.3389</c:v>
                </c:pt>
                <c:pt idx="3">
                  <c:v>0.2453</c:v>
                </c:pt>
                <c:pt idx="4">
                  <c:v>0.2263</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377539728752098"/>
                  <c:y val="-0.43184384085056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134970582513163"/>
                  <c:y val="-0.2154059911348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4850577244781"/>
                  <c:y val="-0.12135372161686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0312047536347619"/>
                  <c:y val="-0.11208119067575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10581732034746"/>
                  <c:y val="-0.075198393101208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1-99人</c:v>
                </c:pt>
                <c:pt idx="1">
                  <c:v>100-499人</c:v>
                </c:pt>
                <c:pt idx="2">
                  <c:v>500-999人</c:v>
                </c:pt>
                <c:pt idx="3">
                  <c:v>1000-4999人</c:v>
                </c:pt>
                <c:pt idx="4">
                  <c:v>5000-9999人</c:v>
                </c:pt>
              </c:strCache>
            </c:strRef>
          </c:cat>
          <c:val>
            <c:numRef>
              <c:f>Sheet1!$B$2:$B$6</c:f>
              <c:numCache>
                <c:formatCode>0.00%</c:formatCode>
                <c:ptCount val="5"/>
                <c:pt idx="0">
                  <c:v>0.5484</c:v>
                </c:pt>
                <c:pt idx="1">
                  <c:v>0.2258</c:v>
                </c:pt>
                <c:pt idx="2">
                  <c:v>0.0968</c:v>
                </c:pt>
                <c:pt idx="3">
                  <c:v>0.0968</c:v>
                </c:pt>
                <c:pt idx="4">
                  <c:v>0.0322</c:v>
                </c:pt>
              </c:numCache>
            </c:numRef>
          </c:val>
        </c:ser>
        <c:dLbls>
          <c:showLegendKey val="0"/>
          <c:showVal val="1"/>
          <c:showCatName val="0"/>
          <c:showSerName val="0"/>
          <c:showPercent val="0"/>
          <c:showBubbleSize val="0"/>
        </c:dLbls>
        <c:gapWidth val="150"/>
        <c:overlap val="100"/>
        <c:axId val="695760955"/>
        <c:axId val="963350063"/>
      </c:barChart>
      <c:catAx>
        <c:axId val="6957609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3350063"/>
        <c:crosses val="autoZero"/>
        <c:auto val="1"/>
        <c:lblAlgn val="ctr"/>
        <c:lblOffset val="100"/>
        <c:noMultiLvlLbl val="0"/>
      </c:catAx>
      <c:valAx>
        <c:axId val="963350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57609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691242096302499"/>
                  <c:y val="0.015120459672249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7826508268724"/>
                  <c:y val="0.01151963662698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48251935486949"/>
                  <c:y val="0.01010701545778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8902480140229"/>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91902416657375"/>
                  <c:y val="0.0067233305441787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328951371805259"/>
                  <c:y val="0.0064300411522633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中部省份（湖南省除外）</c:v>
                </c:pt>
                <c:pt idx="1">
                  <c:v>珠三角区域</c:v>
                </c:pt>
                <c:pt idx="2">
                  <c:v>长沙市内</c:v>
                </c:pt>
                <c:pt idx="3">
                  <c:v>长三角区域</c:v>
                </c:pt>
                <c:pt idx="4">
                  <c:v>其他区域</c:v>
                </c:pt>
                <c:pt idx="5">
                  <c:v>湖南省内（长沙市除外）</c:v>
                </c:pt>
              </c:strCache>
            </c:strRef>
          </c:cat>
          <c:val>
            <c:numRef>
              <c:f>Sheet1!$B$2:$B$7</c:f>
              <c:numCache>
                <c:formatCode>0.00%</c:formatCode>
                <c:ptCount val="6"/>
                <c:pt idx="0">
                  <c:v>0.0323</c:v>
                </c:pt>
                <c:pt idx="1">
                  <c:v>0.0968</c:v>
                </c:pt>
                <c:pt idx="2">
                  <c:v>0.129</c:v>
                </c:pt>
                <c:pt idx="3">
                  <c:v>0.1613</c:v>
                </c:pt>
                <c:pt idx="4">
                  <c:v>0.1935</c:v>
                </c:pt>
                <c:pt idx="5">
                  <c:v>0.3871</c:v>
                </c:pt>
              </c:numCache>
            </c:numRef>
          </c:val>
        </c:ser>
        <c:dLbls>
          <c:showLegendKey val="0"/>
          <c:showVal val="1"/>
          <c:showCatName val="0"/>
          <c:showSerName val="0"/>
          <c:showPercent val="0"/>
          <c:showBubbleSize val="0"/>
        </c:dLbls>
        <c:gapWidth val="150"/>
        <c:overlap val="100"/>
        <c:axId val="713670758"/>
        <c:axId val="587606328"/>
      </c:barChart>
      <c:catAx>
        <c:axId val="713670758"/>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606328"/>
        <c:crosses val="autoZero"/>
        <c:auto val="1"/>
        <c:lblAlgn val="ctr"/>
        <c:lblOffset val="100"/>
        <c:noMultiLvlLbl val="0"/>
      </c:catAx>
      <c:valAx>
        <c:axId val="5876063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36707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系列 1</c:v>
                </c:pt>
              </c:strCache>
            </c:strRef>
          </c:tx>
          <c:spPr>
            <a:solidFill>
              <a:schemeClr val="accent1"/>
            </a:solidFill>
            <a:ln>
              <a:noFill/>
            </a:ln>
            <a:effectLst/>
          </c:spPr>
          <c:invertIfNegative val="0"/>
          <c:dPt>
            <c:idx val="0"/>
            <c:invertIfNegative val="0"/>
            <c:bubble3D val="0"/>
            <c:spPr>
              <a:gradFill>
                <a:gsLst>
                  <a:gs pos="0">
                    <a:srgbClr val="007BD3"/>
                  </a:gs>
                  <a:gs pos="100000">
                    <a:srgbClr val="034373"/>
                  </a:gs>
                </a:gsLst>
                <a:lin scaled="0"/>
              </a:gradFill>
              <a:ln>
                <a:noFill/>
              </a:ln>
              <a:effectLst/>
            </c:spPr>
          </c:dPt>
          <c:dPt>
            <c:idx val="1"/>
            <c:invertIfNegative val="0"/>
            <c:bubble3D val="0"/>
            <c:spPr>
              <a:gradFill>
                <a:gsLst>
                  <a:gs pos="0">
                    <a:srgbClr val="14CD68"/>
                  </a:gs>
                  <a:gs pos="100000">
                    <a:srgbClr val="0B6E38"/>
                  </a:gs>
                </a:gsLst>
                <a:lin scaled="0"/>
              </a:gradFill>
              <a:ln>
                <a:noFill/>
              </a:ln>
              <a:effectLst/>
            </c:spPr>
          </c:dPt>
          <c:dPt>
            <c:idx val="2"/>
            <c:invertIfNegative val="0"/>
            <c:bubble3D val="0"/>
            <c:spPr>
              <a:gradFill>
                <a:gsLst>
                  <a:gs pos="0">
                    <a:srgbClr val="FECF40"/>
                  </a:gs>
                  <a:gs pos="100000">
                    <a:srgbClr val="846C21"/>
                  </a:gs>
                </a:gsLst>
                <a:lin scaled="0"/>
              </a:gradFill>
              <a:ln>
                <a:noFill/>
              </a:ln>
              <a:effectLst/>
            </c:spPr>
          </c:dPt>
          <c:dPt>
            <c:idx val="3"/>
            <c:invertIfNegative val="0"/>
            <c:bubble3D val="0"/>
            <c:spPr>
              <a:gradFill>
                <a:gsLst>
                  <a:gs pos="0">
                    <a:srgbClr val="FE4444"/>
                  </a:gs>
                  <a:gs pos="100000">
                    <a:srgbClr val="832B2B"/>
                  </a:gs>
                </a:gsLst>
                <a:lin scaled="0"/>
              </a:gradFill>
              <a:ln>
                <a:noFill/>
              </a:ln>
              <a:effectLst/>
            </c:spPr>
          </c:dPt>
          <c:dLbls>
            <c:dLbl>
              <c:idx val="0"/>
              <c:layout>
                <c:manualLayout>
                  <c:x val="-0.00177619443604475"/>
                  <c:y val="-0.1070903501737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1796945872392"/>
                  <c:y val="-0.12511026463512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678251983775271"/>
                  <c:y val="-0.26022124108119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2715517241379"/>
                  <c:y val="-0.3540744258473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498941638947687"/>
                  <c:y val="-0.16920609462710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一点也不关注</c:v>
                </c:pt>
                <c:pt idx="1">
                  <c:v>不太关注</c:v>
                </c:pt>
                <c:pt idx="2">
                  <c:v>一般</c:v>
                </c:pt>
                <c:pt idx="3">
                  <c:v>比较关注</c:v>
                </c:pt>
                <c:pt idx="4">
                  <c:v>非常关注</c:v>
                </c:pt>
              </c:strCache>
            </c:strRef>
          </c:cat>
          <c:val>
            <c:numRef>
              <c:f>Sheet1!$B$2:$B$6</c:f>
              <c:numCache>
                <c:formatCode>0.00%</c:formatCode>
                <c:ptCount val="5"/>
                <c:pt idx="0">
                  <c:v>0.0645</c:v>
                </c:pt>
                <c:pt idx="1">
                  <c:v>0.0968</c:v>
                </c:pt>
                <c:pt idx="2">
                  <c:v>0.2903</c:v>
                </c:pt>
                <c:pt idx="3">
                  <c:v>0.3871</c:v>
                </c:pt>
                <c:pt idx="4">
                  <c:v>0.1613</c:v>
                </c:pt>
              </c:numCache>
            </c:numRef>
          </c:val>
        </c:ser>
        <c:dLbls>
          <c:showLegendKey val="0"/>
          <c:showVal val="1"/>
          <c:showCatName val="0"/>
          <c:showSerName val="0"/>
          <c:showPercent val="0"/>
          <c:showBubbleSize val="0"/>
        </c:dLbls>
        <c:gapWidth val="150"/>
        <c:overlap val="100"/>
        <c:axId val="457799022"/>
        <c:axId val="781167096"/>
      </c:barChart>
      <c:catAx>
        <c:axId val="4577990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167096"/>
        <c:crosses val="autoZero"/>
        <c:auto val="1"/>
        <c:lblAlgn val="ctr"/>
        <c:lblOffset val="100"/>
        <c:noMultiLvlLbl val="0"/>
      </c:catAx>
      <c:valAx>
        <c:axId val="781167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779902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122359055474"/>
          <c:y val="0.0422828096118299"/>
          <c:w val="0.679121003276466"/>
          <c:h val="0.837430683918669"/>
        </c:manualLayout>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471441603892049"/>
                  <c:y val="-0.004933703361085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3428960304526"/>
                  <c:y val="-0.0016267798180981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2443525082485"/>
                  <c:y val="0.010484119642306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32007375048425"/>
                  <c:y val="0.005776340110905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739581393021255"/>
                  <c:y val="0.00208529510922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77463281754448"/>
                  <c:y val="0.0030036968576709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978455763010446"/>
                  <c:y val="0.00053428028975248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935210026722568"/>
                  <c:y val="0.008014703074387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994998935500326"/>
                  <c:y val="-0.0010873697535941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22691260212924"/>
                  <c:y val="0.0049337033610854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330032186184699"/>
                  <c:y val="0.01541782300339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352641397932657"/>
                  <c:y val="-0.010175763182238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Sheet1!$A$2:$A$13</c:f>
              <c:strCache>
                <c:ptCount val="12"/>
                <c:pt idx="0">
                  <c:v>学习成绩</c:v>
                </c:pt>
                <c:pt idx="1">
                  <c:v>毕业院校</c:v>
                </c:pt>
                <c:pt idx="2">
                  <c:v>学历层次</c:v>
                </c:pt>
                <c:pt idx="3">
                  <c:v>项目经验</c:v>
                </c:pt>
                <c:pt idx="4">
                  <c:v>工作/实习/兼职经历</c:v>
                </c:pt>
                <c:pt idx="5">
                  <c:v>所学专业</c:v>
                </c:pt>
                <c:pt idx="6">
                  <c:v>其他</c:v>
                </c:pt>
                <c:pt idx="7">
                  <c:v>身体素质</c:v>
                </c:pt>
                <c:pt idx="8">
                  <c:v>社会关系</c:v>
                </c:pt>
                <c:pt idx="9">
                  <c:v>社会适应能力</c:v>
                </c:pt>
                <c:pt idx="10">
                  <c:v>人品素质、忠诚度、责任心</c:v>
                </c:pt>
                <c:pt idx="11">
                  <c:v>综合素质</c:v>
                </c:pt>
              </c:strCache>
            </c:strRef>
          </c:cat>
          <c:val>
            <c:numRef>
              <c:f>Sheet1!$B$2:$B$13</c:f>
              <c:numCache>
                <c:formatCode>0.00%</c:formatCode>
                <c:ptCount val="12"/>
                <c:pt idx="0">
                  <c:v>0.0323</c:v>
                </c:pt>
                <c:pt idx="1">
                  <c:v>0.0323</c:v>
                </c:pt>
                <c:pt idx="2">
                  <c:v>0.0645</c:v>
                </c:pt>
                <c:pt idx="3">
                  <c:v>0.0968</c:v>
                </c:pt>
                <c:pt idx="4">
                  <c:v>0.0968</c:v>
                </c:pt>
                <c:pt idx="5">
                  <c:v>0.0968</c:v>
                </c:pt>
                <c:pt idx="6">
                  <c:v>0.129</c:v>
                </c:pt>
                <c:pt idx="7">
                  <c:v>0.129</c:v>
                </c:pt>
                <c:pt idx="8">
                  <c:v>0.129</c:v>
                </c:pt>
                <c:pt idx="9">
                  <c:v>0.4194</c:v>
                </c:pt>
                <c:pt idx="10">
                  <c:v>0.6774</c:v>
                </c:pt>
                <c:pt idx="11">
                  <c:v>0.7419</c:v>
                </c:pt>
              </c:numCache>
            </c:numRef>
          </c:val>
        </c:ser>
        <c:dLbls>
          <c:showLegendKey val="0"/>
          <c:showVal val="1"/>
          <c:showCatName val="0"/>
          <c:showSerName val="0"/>
          <c:showPercent val="0"/>
          <c:showBubbleSize val="0"/>
        </c:dLbls>
        <c:gapWidth val="150"/>
        <c:overlap val="100"/>
        <c:axId val="804404244"/>
        <c:axId val="746428423"/>
      </c:barChart>
      <c:catAx>
        <c:axId val="80440424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6428423"/>
        <c:crosses val="autoZero"/>
        <c:auto val="1"/>
        <c:lblAlgn val="ctr"/>
        <c:lblOffset val="100"/>
        <c:noMultiLvlLbl val="0"/>
      </c:catAx>
      <c:valAx>
        <c:axId val="74642842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4042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dLbl>
              <c:idx val="0"/>
              <c:layout>
                <c:manualLayout>
                  <c:x val="-0.186234961654978"/>
                  <c:y val="0.04340981653350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200085808948684"/>
                  <c:y val="0.01839518458792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非常满意</c:v>
                </c:pt>
                <c:pt idx="1">
                  <c:v>比较满意</c:v>
                </c:pt>
                <c:pt idx="2">
                  <c:v>满意</c:v>
                </c:pt>
              </c:strCache>
            </c:strRef>
          </c:cat>
          <c:val>
            <c:numRef>
              <c:f>Sheet1!$B$2:$B$4</c:f>
              <c:numCache>
                <c:formatCode>0.00%</c:formatCode>
                <c:ptCount val="3"/>
                <c:pt idx="0">
                  <c:v>0.3549</c:v>
                </c:pt>
                <c:pt idx="1">
                  <c:v>0.1935</c:v>
                </c:pt>
                <c:pt idx="2">
                  <c:v>0.4511</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369286147130561"/>
                  <c:y val="0.016102095463730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22746128779696"/>
                  <c:y val="0.01252847380410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6223730822517"/>
                  <c:y val="0.013453590755405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943063002034366"/>
                  <c:y val="-0.0048073954280926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政治思想觉悟与表现</c:v>
                </c:pt>
                <c:pt idx="1">
                  <c:v>责任心和担当精神</c:v>
                </c:pt>
                <c:pt idx="2">
                  <c:v>应对压力挫折表现</c:v>
                </c:pt>
                <c:pt idx="3">
                  <c:v>主动性和进取精神</c:v>
                </c:pt>
              </c:strCache>
            </c:strRef>
          </c:cat>
          <c:val>
            <c:numRef>
              <c:f>Sheet1!$B$2:$B$5</c:f>
              <c:numCache>
                <c:formatCode>0.00%</c:formatCode>
                <c:ptCount val="4"/>
                <c:pt idx="0">
                  <c:v>0.5484</c:v>
                </c:pt>
                <c:pt idx="1">
                  <c:v>0.2903</c:v>
                </c:pt>
                <c:pt idx="2">
                  <c:v>0.0968</c:v>
                </c:pt>
                <c:pt idx="3">
                  <c:v>0.0645</c:v>
                </c:pt>
              </c:numCache>
            </c:numRef>
          </c:val>
        </c:ser>
        <c:dLbls>
          <c:showLegendKey val="0"/>
          <c:showVal val="1"/>
          <c:showCatName val="0"/>
          <c:showSerName val="0"/>
          <c:showPercent val="0"/>
          <c:showBubbleSize val="0"/>
        </c:dLbls>
        <c:gapWidth val="150"/>
        <c:overlap val="100"/>
        <c:axId val="431435123"/>
        <c:axId val="311957293"/>
      </c:barChart>
      <c:catAx>
        <c:axId val="43143512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1957293"/>
        <c:crosses val="autoZero"/>
        <c:auto val="1"/>
        <c:lblAlgn val="ctr"/>
        <c:lblOffset val="100"/>
        <c:noMultiLvlLbl val="0"/>
      </c:catAx>
      <c:valAx>
        <c:axId val="31195729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14351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0234237140664488"/>
                  <c:y val="-0.26293180178476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20385604908943"/>
                  <c:y val="-0.23875505264680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16140952883727"/>
                  <c:y val="-0.217635245757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541111257753728"/>
                  <c:y val="-0.1589984398094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904664375783112"/>
                  <c:y val="-0.1445267735720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0842787708741752"/>
                  <c:y val="-0.1351505459811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190755975279314"/>
                  <c:y val="-0.1233296204277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628361985671393"/>
                  <c:y val="-0.1058750418290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
                  <c:y val="-0.050301810865191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
                  <c:y val="-0.0565895372233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表达沟通</c:v>
                </c:pt>
                <c:pt idx="1">
                  <c:v>职业素养</c:v>
                </c:pt>
                <c:pt idx="2">
                  <c:v>求职技巧</c:v>
                </c:pt>
                <c:pt idx="3">
                  <c:v>临场反应</c:v>
                </c:pt>
                <c:pt idx="4">
                  <c:v>其他</c:v>
                </c:pt>
                <c:pt idx="5">
                  <c:v>对应聘单位的了解准备</c:v>
                </c:pt>
                <c:pt idx="6">
                  <c:v>简历制作</c:v>
                </c:pt>
                <c:pt idx="7">
                  <c:v>面试礼仪</c:v>
                </c:pt>
                <c:pt idx="8">
                  <c:v>着装礼仪</c:v>
                </c:pt>
                <c:pt idx="9">
                  <c:v>群体选拔</c:v>
                </c:pt>
              </c:strCache>
            </c:strRef>
          </c:cat>
          <c:val>
            <c:numRef>
              <c:f>Sheet1!$B$2:$B$11</c:f>
              <c:numCache>
                <c:formatCode>0.00%</c:formatCode>
                <c:ptCount val="10"/>
                <c:pt idx="0">
                  <c:v>0.3871</c:v>
                </c:pt>
                <c:pt idx="1">
                  <c:v>0.3548</c:v>
                </c:pt>
                <c:pt idx="2">
                  <c:v>0.3226</c:v>
                </c:pt>
                <c:pt idx="3">
                  <c:v>0.2258</c:v>
                </c:pt>
                <c:pt idx="4">
                  <c:v>0.1935</c:v>
                </c:pt>
                <c:pt idx="5">
                  <c:v>0.1613</c:v>
                </c:pt>
                <c:pt idx="6">
                  <c:v>0.1613</c:v>
                </c:pt>
                <c:pt idx="7">
                  <c:v>0.129</c:v>
                </c:pt>
                <c:pt idx="8">
                  <c:v>0.0323</c:v>
                </c:pt>
                <c:pt idx="9">
                  <c:v>0.0323</c:v>
                </c:pt>
              </c:numCache>
            </c:numRef>
          </c:val>
        </c:ser>
        <c:dLbls>
          <c:showLegendKey val="0"/>
          <c:showVal val="1"/>
          <c:showCatName val="0"/>
          <c:showSerName val="0"/>
          <c:showPercent val="0"/>
          <c:showBubbleSize val="0"/>
        </c:dLbls>
        <c:gapWidth val="150"/>
        <c:overlap val="100"/>
        <c:axId val="316508773"/>
        <c:axId val="812739920"/>
      </c:barChart>
      <c:catAx>
        <c:axId val="3165087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739920"/>
        <c:crosses val="autoZero"/>
        <c:auto val="1"/>
        <c:lblAlgn val="ctr"/>
        <c:lblOffset val="100"/>
        <c:noMultiLvlLbl val="0"/>
      </c:catAx>
      <c:valAx>
        <c:axId val="8127399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650877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非常满意</c:v>
                </c:pt>
                <c:pt idx="1">
                  <c:v>比较满意</c:v>
                </c:pt>
                <c:pt idx="2">
                  <c:v>满意</c:v>
                </c:pt>
              </c:strCache>
            </c:strRef>
          </c:cat>
          <c:val>
            <c:numRef>
              <c:f>Sheet1!$B$2:$B$4</c:f>
              <c:numCache>
                <c:formatCode>0.00%</c:formatCode>
                <c:ptCount val="3"/>
                <c:pt idx="0">
                  <c:v>0.4839</c:v>
                </c:pt>
                <c:pt idx="1">
                  <c:v>0.0645</c:v>
                </c:pt>
                <c:pt idx="2">
                  <c:v>0.4516</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396880564812727"/>
                  <c:y val="0.00023972786554830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03263614808695"/>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906565688971431"/>
                  <c:y val="0.00025970518767731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10987054948301"/>
                  <c:y val="0.0094532447623914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38573162454401"/>
                  <c:y val="0.0061234102684879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204564181835331"/>
                  <c:y val="0.012275222031087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202542515465281"/>
                  <c:y val="0.006391539628147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32046730042378"/>
                  <c:y val="0.0068299576071596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237382602221968"/>
                  <c:y val="0.010833725859632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23765891650441"/>
                  <c:y val="0.005887894488930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344977665788569"/>
                  <c:y val="-0.0058878944889307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Sheet1!$A$2:$A$12</c:f>
              <c:strCache>
                <c:ptCount val="11"/>
                <c:pt idx="0">
                  <c:v>改进招聘硬件设施</c:v>
                </c:pt>
                <c:pt idx="1">
                  <c:v>及时办理毕业生就业手续</c:v>
                </c:pt>
                <c:pt idx="2">
                  <c:v>开展校企活动</c:v>
                </c:pt>
                <c:pt idx="3">
                  <c:v>提高就业指导教师的专业水平</c:v>
                </c:pt>
                <c:pt idx="4">
                  <c:v>拓宽服务项目</c:v>
                </c:pt>
                <c:pt idx="5">
                  <c:v>其他</c:v>
                </c:pt>
                <c:pt idx="6">
                  <c:v>加大对毕业生的推荐力度</c:v>
                </c:pt>
                <c:pt idx="7">
                  <c:v>加强校企沟通</c:v>
                </c:pt>
                <c:pt idx="8">
                  <c:v>及时更新发布招聘信息</c:v>
                </c:pt>
                <c:pt idx="9">
                  <c:v>增加校园招聘会场次</c:v>
                </c:pt>
                <c:pt idx="10">
                  <c:v>加强毕业生就业指导</c:v>
                </c:pt>
              </c:strCache>
            </c:strRef>
          </c:cat>
          <c:val>
            <c:numRef>
              <c:f>Sheet1!$B$2:$B$12</c:f>
              <c:numCache>
                <c:formatCode>0.00%</c:formatCode>
                <c:ptCount val="11"/>
                <c:pt idx="0">
                  <c:v>0</c:v>
                </c:pt>
                <c:pt idx="1">
                  <c:v>0.0323</c:v>
                </c:pt>
                <c:pt idx="2">
                  <c:v>0.0645</c:v>
                </c:pt>
                <c:pt idx="3">
                  <c:v>0.0968</c:v>
                </c:pt>
                <c:pt idx="4">
                  <c:v>0.129</c:v>
                </c:pt>
                <c:pt idx="5">
                  <c:v>0.2258</c:v>
                </c:pt>
                <c:pt idx="6">
                  <c:v>0.2258</c:v>
                </c:pt>
                <c:pt idx="7">
                  <c:v>0.2581</c:v>
                </c:pt>
                <c:pt idx="8">
                  <c:v>0.2581</c:v>
                </c:pt>
                <c:pt idx="9">
                  <c:v>0.2581</c:v>
                </c:pt>
                <c:pt idx="10">
                  <c:v>0.4194</c:v>
                </c:pt>
              </c:numCache>
            </c:numRef>
          </c:val>
        </c:ser>
        <c:dLbls>
          <c:showLegendKey val="0"/>
          <c:showVal val="1"/>
          <c:showCatName val="0"/>
          <c:showSerName val="0"/>
          <c:showPercent val="0"/>
          <c:showBubbleSize val="0"/>
        </c:dLbls>
        <c:gapWidth val="150"/>
        <c:overlap val="100"/>
        <c:axId val="445482149"/>
        <c:axId val="989359962"/>
      </c:barChart>
      <c:catAx>
        <c:axId val="445482149"/>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9359962"/>
        <c:crosses val="autoZero"/>
        <c:auto val="1"/>
        <c:lblAlgn val="ctr"/>
        <c:lblOffset val="100"/>
        <c:noMultiLvlLbl val="0"/>
      </c:catAx>
      <c:valAx>
        <c:axId val="98935996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548214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dLbl>
              <c:idx val="1"/>
              <c:layout>
                <c:manualLayout>
                  <c:x val="-0.0304547915538711"/>
                  <c:y val="0.061208677685950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2911051212938"/>
                  <c:y val="-0.029831718510963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2021届</c:v>
                </c:pt>
                <c:pt idx="1">
                  <c:v>2022届</c:v>
                </c:pt>
                <c:pt idx="2">
                  <c:v>2023届</c:v>
                </c:pt>
              </c:strCache>
            </c:strRef>
          </c:cat>
          <c:val>
            <c:numRef>
              <c:f>Sheet1!$B$2:$B$4</c:f>
              <c:numCache>
                <c:formatCode>0.00%</c:formatCode>
                <c:ptCount val="3"/>
                <c:pt idx="0">
                  <c:v>0.943</c:v>
                </c:pt>
                <c:pt idx="1">
                  <c:v>0.9557</c:v>
                </c:pt>
                <c:pt idx="2">
                  <c:v>0.956</c:v>
                </c:pt>
              </c:numCache>
            </c:numRef>
          </c:val>
          <c:smooth val="0"/>
        </c:ser>
        <c:dLbls>
          <c:showLegendKey val="0"/>
          <c:showVal val="1"/>
          <c:showCatName val="0"/>
          <c:showSerName val="0"/>
          <c:showPercent val="0"/>
          <c:showBubbleSize val="0"/>
        </c:dLbls>
        <c:marker val="1"/>
        <c:smooth val="0"/>
        <c:axId val="239131264"/>
        <c:axId val="240451968"/>
      </c:lineChart>
      <c:catAx>
        <c:axId val="2391312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0451968"/>
        <c:crosses val="autoZero"/>
        <c:auto val="1"/>
        <c:lblAlgn val="ctr"/>
        <c:lblOffset val="100"/>
        <c:noMultiLvlLbl val="0"/>
      </c:catAx>
      <c:valAx>
        <c:axId val="240451968"/>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913126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Lbl>
              <c:idx val="0"/>
              <c:layout>
                <c:manualLayout>
                  <c:x val="0.00133564845732603"/>
                  <c:y val="-0.23756906077348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33912114331508"/>
                  <c:y val="-0.33197213547922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868171497261921"/>
                  <c:y val="-0.24717751621426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560972352076933"/>
                  <c:y val="-0.19096805188565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507546413783892"/>
                  <c:y val="-0.0948834974777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41405102177107"/>
                  <c:y val="-0.056930098486668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747963136102578"/>
                  <c:y val="-0.0509248138361758"/>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667824228663016"/>
                  <c:y val="-0.040115301465289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
                  <c:y val="-0.052125870766274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894884466408441"/>
                  <c:y val="-0.052125870766274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Sheet1!$A$2:$A$11</c:f>
              <c:strCache>
                <c:ptCount val="10"/>
                <c:pt idx="0">
                  <c:v>3000元以下</c:v>
                </c:pt>
                <c:pt idx="1">
                  <c:v>3001-4000元</c:v>
                </c:pt>
                <c:pt idx="2">
                  <c:v>4001-5000元</c:v>
                </c:pt>
                <c:pt idx="3">
                  <c:v>5001-6000元</c:v>
                </c:pt>
                <c:pt idx="4">
                  <c:v>6001-7000元</c:v>
                </c:pt>
                <c:pt idx="5">
                  <c:v>7001-8000元</c:v>
                </c:pt>
                <c:pt idx="6">
                  <c:v>8001-9000元</c:v>
                </c:pt>
                <c:pt idx="7">
                  <c:v>9001-10000元</c:v>
                </c:pt>
                <c:pt idx="8">
                  <c:v>10001-15000元</c:v>
                </c:pt>
                <c:pt idx="9">
                  <c:v>15000元以上</c:v>
                </c:pt>
              </c:strCache>
            </c:strRef>
          </c:cat>
          <c:val>
            <c:numRef>
              <c:f>Sheet1!$B$2:$B$11</c:f>
              <c:numCache>
                <c:formatCode>0.00%</c:formatCode>
                <c:ptCount val="10"/>
                <c:pt idx="0">
                  <c:v>0.207</c:v>
                </c:pt>
                <c:pt idx="1">
                  <c:v>0.2996</c:v>
                </c:pt>
                <c:pt idx="2">
                  <c:v>0.2253</c:v>
                </c:pt>
                <c:pt idx="3">
                  <c:v>0.1616</c:v>
                </c:pt>
                <c:pt idx="4">
                  <c:v>0.0533</c:v>
                </c:pt>
                <c:pt idx="5">
                  <c:v>0.0279</c:v>
                </c:pt>
                <c:pt idx="6">
                  <c:v>0.0105</c:v>
                </c:pt>
                <c:pt idx="7">
                  <c:v>0.0044</c:v>
                </c:pt>
                <c:pt idx="8">
                  <c:v>0.0035</c:v>
                </c:pt>
                <c:pt idx="9">
                  <c:v>0.0069</c:v>
                </c:pt>
              </c:numCache>
            </c:numRef>
          </c:val>
        </c:ser>
        <c:dLbls>
          <c:showLegendKey val="0"/>
          <c:showVal val="0"/>
          <c:showCatName val="0"/>
          <c:showSerName val="0"/>
          <c:showPercent val="0"/>
          <c:showBubbleSize val="0"/>
        </c:dLbls>
        <c:gapWidth val="150"/>
        <c:overlap val="100"/>
        <c:axId val="322658713"/>
        <c:axId val="374269042"/>
      </c:barChart>
      <c:catAx>
        <c:axId val="3226587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4269042"/>
        <c:crosses val="autoZero"/>
        <c:auto val="1"/>
        <c:lblAlgn val="ctr"/>
        <c:lblOffset val="100"/>
        <c:noMultiLvlLbl val="0"/>
      </c:catAx>
      <c:valAx>
        <c:axId val="37426904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26587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dLbl>
              <c:idx val="0"/>
              <c:layout>
                <c:manualLayout>
                  <c:x val="-0.00633793890226898"/>
                  <c:y val="-0.046987858032378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365952592217"/>
                  <c:y val="-0.058530510585305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74927113702624"/>
                  <c:y val="-0.054483188044831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2021届</c:v>
                </c:pt>
                <c:pt idx="1">
                  <c:v>2022届</c:v>
                </c:pt>
                <c:pt idx="2">
                  <c:v>2023届</c:v>
                </c:pt>
              </c:strCache>
            </c:strRef>
          </c:cat>
          <c:val>
            <c:numRef>
              <c:f>Sheet1!$B$2:$B$4</c:f>
              <c:numCache>
                <c:formatCode>0.00%</c:formatCode>
                <c:ptCount val="3"/>
                <c:pt idx="0">
                  <c:v>0.0382</c:v>
                </c:pt>
                <c:pt idx="1">
                  <c:v>0.0357</c:v>
                </c:pt>
                <c:pt idx="2">
                  <c:v>0.0308</c:v>
                </c:pt>
              </c:numCache>
            </c:numRef>
          </c:val>
          <c:smooth val="0"/>
        </c:ser>
        <c:dLbls>
          <c:showLegendKey val="0"/>
          <c:showVal val="1"/>
          <c:showCatName val="0"/>
          <c:showSerName val="0"/>
          <c:showPercent val="0"/>
          <c:showBubbleSize val="0"/>
        </c:dLbls>
        <c:marker val="1"/>
        <c:smooth val="0"/>
        <c:axId val="238800256"/>
        <c:axId val="238810240"/>
      </c:lineChart>
      <c:catAx>
        <c:axId val="2388002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10240"/>
        <c:crosses val="autoZero"/>
        <c:auto val="1"/>
        <c:lblAlgn val="ctr"/>
        <c:lblOffset val="100"/>
        <c:noMultiLvlLbl val="0"/>
      </c:catAx>
      <c:valAx>
        <c:axId val="238810240"/>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0025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dLbls>
            <c:dLbl>
              <c:idx val="0"/>
              <c:layout>
                <c:manualLayout>
                  <c:x val="-0.00144473874307729"/>
                  <c:y val="0.041279669762641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2021届</c:v>
                </c:pt>
                <c:pt idx="1">
                  <c:v>2022届</c:v>
                </c:pt>
                <c:pt idx="2">
                  <c:v>2023届</c:v>
                </c:pt>
              </c:strCache>
            </c:strRef>
          </c:cat>
          <c:val>
            <c:numRef>
              <c:f>Sheet1!$B$2:$B$4</c:f>
              <c:numCache>
                <c:formatCode>0.00%</c:formatCode>
                <c:ptCount val="3"/>
                <c:pt idx="0">
                  <c:v>0.004</c:v>
                </c:pt>
                <c:pt idx="1">
                  <c:v>0.0049</c:v>
                </c:pt>
                <c:pt idx="2">
                  <c:v>0.0177</c:v>
                </c:pt>
              </c:numCache>
            </c:numRef>
          </c:val>
          <c:smooth val="0"/>
        </c:ser>
        <c:dLbls>
          <c:showLegendKey val="0"/>
          <c:showVal val="1"/>
          <c:showCatName val="0"/>
          <c:showSerName val="0"/>
          <c:showPercent val="0"/>
          <c:showBubbleSize val="0"/>
        </c:dLbls>
        <c:marker val="1"/>
        <c:smooth val="0"/>
        <c:axId val="238800256"/>
        <c:axId val="238810240"/>
      </c:lineChart>
      <c:catAx>
        <c:axId val="2388002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10240"/>
        <c:crosses val="autoZero"/>
        <c:auto val="1"/>
        <c:lblAlgn val="ctr"/>
        <c:lblOffset val="100"/>
        <c:noMultiLvlLbl val="0"/>
      </c:catAx>
      <c:valAx>
        <c:axId val="238810240"/>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80025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不满意</c:v>
                </c:pt>
                <c:pt idx="1">
                  <c:v>不太满意</c:v>
                </c:pt>
                <c:pt idx="2">
                  <c:v>满意</c:v>
                </c:pt>
                <c:pt idx="3">
                  <c:v>比较满意</c:v>
                </c:pt>
                <c:pt idx="4">
                  <c:v>非常满意</c:v>
                </c:pt>
              </c:strCache>
            </c:strRef>
          </c:cat>
          <c:val>
            <c:numRef>
              <c:f>Sheet1!$B$2:$B$6</c:f>
              <c:numCache>
                <c:formatCode>0.00%</c:formatCode>
                <c:ptCount val="5"/>
                <c:pt idx="0">
                  <c:v>0.117</c:v>
                </c:pt>
                <c:pt idx="1">
                  <c:v>0.3852</c:v>
                </c:pt>
                <c:pt idx="2">
                  <c:v>0.269</c:v>
                </c:pt>
                <c:pt idx="3">
                  <c:v>0.1904</c:v>
                </c:pt>
                <c:pt idx="4">
                  <c:v>0.0384</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百分比</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dLbl>
              <c:idx val="2"/>
              <c:layout>
                <c:manualLayout>
                  <c:x val="0.102490421455939"/>
                  <c:y val="-0.15466485507246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五险一金</c:v>
                </c:pt>
                <c:pt idx="1">
                  <c:v>仅五险</c:v>
                </c:pt>
                <c:pt idx="2">
                  <c:v>提供五险一金外，还提供其他保障和补贴</c:v>
                </c:pt>
                <c:pt idx="3">
                  <c:v>不提供社保和公积金</c:v>
                </c:pt>
              </c:strCache>
            </c:strRef>
          </c:cat>
          <c:val>
            <c:numRef>
              <c:f>Sheet1!$B$2:$B$5</c:f>
              <c:numCache>
                <c:formatCode>0.00%</c:formatCode>
                <c:ptCount val="4"/>
                <c:pt idx="0">
                  <c:v>0.3563</c:v>
                </c:pt>
                <c:pt idx="1">
                  <c:v>0.2541</c:v>
                </c:pt>
                <c:pt idx="2">
                  <c:v>0.1258</c:v>
                </c:pt>
                <c:pt idx="3">
                  <c:v>0.2638</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844524835824774"/>
                  <c:y val="0.16651596227543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84034065571013"/>
                  <c:y val="-0.098246937008384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846392591584695"/>
                  <c:y val="-0.217856947737293"/>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86227026665812"/>
                  <c:y val="0.0720428451836288"/>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139392030240983"/>
                      <c:h val="0.169566346403532"/>
                    </c:manualLayout>
                  </c15:layout>
                </c:ext>
              </c:extLst>
            </c:dLbl>
            <c:dLbl>
              <c:idx val="4"/>
              <c:layout>
                <c:manualLayout>
                  <c:x val="0.0558792468811913"/>
                  <c:y val="0.15016409093199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不相关</c:v>
                </c:pt>
                <c:pt idx="1">
                  <c:v>不太相关</c:v>
                </c:pt>
                <c:pt idx="2">
                  <c:v>相关</c:v>
                </c:pt>
                <c:pt idx="3">
                  <c:v>比较相关</c:v>
                </c:pt>
                <c:pt idx="4">
                  <c:v>非常相关</c:v>
                </c:pt>
              </c:strCache>
            </c:strRef>
          </c:cat>
          <c:val>
            <c:numRef>
              <c:f>Sheet1!$B$2:$B$6</c:f>
              <c:numCache>
                <c:formatCode>0.00%</c:formatCode>
                <c:ptCount val="5"/>
                <c:pt idx="0">
                  <c:v>0.1825</c:v>
                </c:pt>
                <c:pt idx="1">
                  <c:v>0.2769</c:v>
                </c:pt>
                <c:pt idx="2">
                  <c:v>0.2323</c:v>
                </c:pt>
                <c:pt idx="3">
                  <c:v>0.1939</c:v>
                </c:pt>
                <c:pt idx="4">
                  <c:v>0.1144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ED2934-18BD-4583-B0C1-45D898771F1C}">
  <ds:schemaRefs/>
</ds:datastoreItem>
</file>

<file path=docProps/app.xml><?xml version="1.0" encoding="utf-8"?>
<Properties xmlns="http://schemas.openxmlformats.org/officeDocument/2006/extended-properties" xmlns:vt="http://schemas.openxmlformats.org/officeDocument/2006/docPropsVTypes">
  <Template>Normal</Template>
  <Pages>73</Pages>
  <Words>22786</Words>
  <Characters>26811</Characters>
  <Lines>117</Lines>
  <Paragraphs>32</Paragraphs>
  <TotalTime>1</TotalTime>
  <ScaleCrop>false</ScaleCrop>
  <LinksUpToDate>false</LinksUpToDate>
  <CharactersWithSpaces>27398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2019-12-26T08:19:00Z</dcterms:created>
  <dc:creator>Administrator</dc:creator>
  <cp:lastModifiedBy>吹个大气球</cp:lastModifiedBy>
  <cp:lastPrinted>2023-12-28T07:30:00Z</cp:lastPrinted>
  <dcterms:modified xsi:type="dcterms:W3CDTF">2023-12-28T07:43:23Z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6FD64F0CC88043319C31709D5ACCC1E7_13</vt:lpwstr>
  </property>
</Properties>
</file>